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99C4DF" w14:textId="7B04789D" w:rsidR="0009296D" w:rsidRPr="008B2750" w:rsidRDefault="0009296D" w:rsidP="0009296D">
      <w:pPr>
        <w:pStyle w:val="3GPPHeader"/>
        <w:spacing w:after="60"/>
        <w:rPr>
          <w:sz w:val="32"/>
          <w:szCs w:val="32"/>
        </w:rPr>
      </w:pPr>
      <w:bookmarkStart w:id="0" w:name="_GoBack"/>
      <w:bookmarkEnd w:id="0"/>
      <w:r>
        <w:rPr>
          <w:lang w:val="en-US"/>
        </w:rPr>
        <w:t>3GPP TSG-RAN WG1 Meeting #90</w:t>
      </w:r>
      <w:r w:rsidRPr="008B2750">
        <w:tab/>
      </w:r>
      <w:r w:rsidR="00D43D3F" w:rsidRPr="00D43D3F">
        <w:rPr>
          <w:sz w:val="32"/>
          <w:szCs w:val="32"/>
        </w:rPr>
        <w:t>R1-1712988</w:t>
      </w:r>
    </w:p>
    <w:p w14:paraId="39226F30" w14:textId="77777777" w:rsidR="0009296D" w:rsidRPr="00CE0424" w:rsidRDefault="0009296D" w:rsidP="0009296D">
      <w:pPr>
        <w:pStyle w:val="3GPPHeader"/>
      </w:pPr>
      <w:r>
        <w:t>Prague, Czech Republic,</w:t>
      </w:r>
      <w:r w:rsidRPr="000A1D33">
        <w:t xml:space="preserve"> </w:t>
      </w:r>
      <w:r>
        <w:t>21</w:t>
      </w:r>
      <w:r w:rsidRPr="003C2F42">
        <w:rPr>
          <w:vertAlign w:val="superscript"/>
        </w:rPr>
        <w:t>st</w:t>
      </w:r>
      <w:r>
        <w:t xml:space="preserve"> – 25</w:t>
      </w:r>
      <w:r w:rsidRPr="003C2F42">
        <w:rPr>
          <w:vertAlign w:val="superscript"/>
        </w:rPr>
        <w:t>th</w:t>
      </w:r>
      <w:r>
        <w:t xml:space="preserve"> August</w:t>
      </w:r>
      <w:r w:rsidRPr="000A1D33">
        <w:t xml:space="preserve"> 2017</w:t>
      </w:r>
    </w:p>
    <w:p w14:paraId="5FCD4219" w14:textId="77777777" w:rsidR="00E90E49" w:rsidRPr="00287556" w:rsidRDefault="00E90E49" w:rsidP="00357380">
      <w:pPr>
        <w:pStyle w:val="3GPPHeader"/>
      </w:pPr>
    </w:p>
    <w:p w14:paraId="606D9DC9" w14:textId="59468375" w:rsidR="00E90E49" w:rsidRPr="00ED53B1" w:rsidRDefault="00E90E49" w:rsidP="00311702">
      <w:pPr>
        <w:pStyle w:val="3GPPHeader"/>
        <w:rPr>
          <w:sz w:val="22"/>
          <w:szCs w:val="22"/>
          <w:lang w:val="en-US"/>
        </w:rPr>
      </w:pPr>
      <w:r w:rsidRPr="00ED53B1">
        <w:rPr>
          <w:sz w:val="22"/>
          <w:szCs w:val="22"/>
          <w:lang w:val="en-US"/>
        </w:rPr>
        <w:t>Agenda Item:</w:t>
      </w:r>
      <w:r w:rsidRPr="00ED53B1">
        <w:rPr>
          <w:sz w:val="22"/>
          <w:szCs w:val="22"/>
          <w:lang w:val="en-US"/>
        </w:rPr>
        <w:tab/>
      </w:r>
      <w:r w:rsidR="0009296D">
        <w:rPr>
          <w:sz w:val="22"/>
          <w:szCs w:val="22"/>
          <w:lang w:val="en-US"/>
        </w:rPr>
        <w:t>5</w:t>
      </w:r>
      <w:r w:rsidR="003E422C" w:rsidRPr="00ED53B1">
        <w:rPr>
          <w:sz w:val="22"/>
          <w:szCs w:val="22"/>
          <w:lang w:val="en-US"/>
        </w:rPr>
        <w:t>.2.6.6</w:t>
      </w:r>
    </w:p>
    <w:p w14:paraId="684B06A7" w14:textId="77777777" w:rsidR="00E90E49" w:rsidRPr="00287556" w:rsidRDefault="003D3C45" w:rsidP="00F64C2B">
      <w:pPr>
        <w:pStyle w:val="3GPPHeader"/>
        <w:rPr>
          <w:sz w:val="22"/>
          <w:szCs w:val="22"/>
        </w:rPr>
      </w:pPr>
      <w:r w:rsidRPr="00287556">
        <w:rPr>
          <w:sz w:val="22"/>
          <w:szCs w:val="22"/>
        </w:rPr>
        <w:t>Source:</w:t>
      </w:r>
      <w:r w:rsidR="00E90E49" w:rsidRPr="00287556">
        <w:rPr>
          <w:sz w:val="22"/>
          <w:szCs w:val="22"/>
        </w:rPr>
        <w:tab/>
      </w:r>
      <w:r w:rsidR="00F64C2B" w:rsidRPr="00287556">
        <w:rPr>
          <w:sz w:val="22"/>
          <w:szCs w:val="22"/>
        </w:rPr>
        <w:t>Ericsson</w:t>
      </w:r>
    </w:p>
    <w:p w14:paraId="214B1E52" w14:textId="0C280DB2" w:rsidR="00E90E49" w:rsidRPr="00287556" w:rsidRDefault="003D3C45" w:rsidP="00547F4D">
      <w:pPr>
        <w:pStyle w:val="3GPPHeader"/>
        <w:ind w:left="1701" w:hanging="1701"/>
        <w:rPr>
          <w:sz w:val="22"/>
          <w:szCs w:val="22"/>
        </w:rPr>
      </w:pPr>
      <w:r w:rsidRPr="00287556">
        <w:rPr>
          <w:sz w:val="22"/>
          <w:szCs w:val="22"/>
        </w:rPr>
        <w:t>Title:</w:t>
      </w:r>
      <w:r w:rsidR="006B5B0F" w:rsidRPr="00287556">
        <w:rPr>
          <w:sz w:val="22"/>
          <w:szCs w:val="22"/>
        </w:rPr>
        <w:tab/>
      </w:r>
      <w:r w:rsidR="003E422C" w:rsidRPr="00287556">
        <w:rPr>
          <w:sz w:val="22"/>
          <w:szCs w:val="22"/>
        </w:rPr>
        <w:t>Flexible PDSCH/PUSCH resource allocation for MTC</w:t>
      </w:r>
    </w:p>
    <w:p w14:paraId="59D6E79C" w14:textId="119F70A9" w:rsidR="00E90E49" w:rsidRPr="00CE0424" w:rsidRDefault="00E90E49" w:rsidP="00D546FF">
      <w:pPr>
        <w:pStyle w:val="3GPPHeader"/>
        <w:rPr>
          <w:sz w:val="22"/>
          <w:szCs w:val="22"/>
        </w:rPr>
      </w:pPr>
      <w:r w:rsidRPr="00287556">
        <w:rPr>
          <w:sz w:val="22"/>
          <w:szCs w:val="22"/>
        </w:rPr>
        <w:t>Document for:</w:t>
      </w:r>
      <w:r w:rsidRPr="00287556">
        <w:rPr>
          <w:sz w:val="22"/>
          <w:szCs w:val="22"/>
        </w:rPr>
        <w:tab/>
        <w:t>Decision</w:t>
      </w:r>
    </w:p>
    <w:p w14:paraId="248031E0" w14:textId="77777777" w:rsidR="00E90E49" w:rsidRPr="00CE0424" w:rsidRDefault="00E90E49" w:rsidP="00E90E49"/>
    <w:p w14:paraId="65062EEC" w14:textId="77777777" w:rsidR="00E90E49" w:rsidRPr="00CE0424" w:rsidRDefault="00E90E49" w:rsidP="00CE0424">
      <w:pPr>
        <w:pStyle w:val="Heading1"/>
      </w:pPr>
      <w:r w:rsidRPr="00CE0424">
        <w:t>Introduction</w:t>
      </w:r>
    </w:p>
    <w:p w14:paraId="2EF369F3" w14:textId="29AD40D9" w:rsidR="00AF58B9" w:rsidRDefault="00AF58B9" w:rsidP="00AF58B9">
      <w:r>
        <w:t xml:space="preserve">It has been observed that the misalignment between the </w:t>
      </w:r>
      <w:r w:rsidR="00FB0457">
        <w:t>BL/CE</w:t>
      </w:r>
      <w:r>
        <w:t xml:space="preserve"> narrowband </w:t>
      </w:r>
      <w:r w:rsidR="00ED53B1">
        <w:t xml:space="preserve">(NB) </w:t>
      </w:r>
      <w:r>
        <w:t>and the LTE resource block groups (RBG) may cause inefficient utilization of the downlink PRBs in certain traffic conditions. In this contribution we discuss the possibility of improving the PDSCH/PUSCH spectral efficiency by enabling a more flexible PDSCH/PUSCH resource allocation</w:t>
      </w:r>
      <w:r w:rsidRPr="00AF58B9">
        <w:t xml:space="preserve"> </w:t>
      </w:r>
      <w:r>
        <w:t>for BL/CE UEs.</w:t>
      </w:r>
    </w:p>
    <w:p w14:paraId="5925009D" w14:textId="77777777" w:rsidR="004000E8" w:rsidRPr="00CE0424" w:rsidRDefault="004000E8" w:rsidP="00CE0424">
      <w:pPr>
        <w:pStyle w:val="Heading1"/>
      </w:pPr>
      <w:bookmarkStart w:id="1" w:name="_Ref178064866"/>
      <w:r w:rsidRPr="00CE0424">
        <w:t>Discussion</w:t>
      </w:r>
      <w:bookmarkEnd w:id="1"/>
    </w:p>
    <w:p w14:paraId="3E5B59DA" w14:textId="7E4AF8A2" w:rsidR="00EC496F" w:rsidRDefault="00E57056" w:rsidP="00EC496F">
      <w:r>
        <w:rPr>
          <w:lang w:val="en-US"/>
        </w:rPr>
        <w:t>For higher category (&gt;= Cat-0), r</w:t>
      </w:r>
      <w:r w:rsidR="00EC496F">
        <w:rPr>
          <w:lang w:val="en-US"/>
        </w:rPr>
        <w:t xml:space="preserve">esource allocation type 0 is the </w:t>
      </w:r>
      <w:r>
        <w:rPr>
          <w:lang w:val="en-US"/>
        </w:rPr>
        <w:t xml:space="preserve">downlink </w:t>
      </w:r>
      <w:r w:rsidR="00EC496F">
        <w:rPr>
          <w:lang w:val="en-US"/>
        </w:rPr>
        <w:t xml:space="preserve">allocation strategy that provides the highest spectrum utlilization and user throughput for scheduling a single user. </w:t>
      </w:r>
      <w:r w:rsidR="001841D8">
        <w:t>Resource allocation type 1 do not provide the possibility to assign all PRBs to a single UE, and i</w:t>
      </w:r>
      <w:r w:rsidR="00EC496F">
        <w:t xml:space="preserve">n order to </w:t>
      </w:r>
      <w:r w:rsidR="00F809C2">
        <w:t>better</w:t>
      </w:r>
      <w:r w:rsidR="001841D8">
        <w:t xml:space="preserve"> ut</w:t>
      </w:r>
      <w:r w:rsidR="00EC496F">
        <w:t>i</w:t>
      </w:r>
      <w:r w:rsidR="001841D8">
        <w:t>l</w:t>
      </w:r>
      <w:r w:rsidR="00EC496F">
        <w:t>ize the spectrum with resource allocation type 1 several users need to be scheduled in the sam</w:t>
      </w:r>
      <w:r w:rsidR="001841D8">
        <w:t>e sub frame. Resource allocation type 2 requires consecutive PRB allocation and full PRB utilization will not be possible unless the narrowband is at either of the band-edges</w:t>
      </w:r>
      <w:r w:rsidR="00F809C2">
        <w:t>.</w:t>
      </w:r>
    </w:p>
    <w:p w14:paraId="6CD4B7AF" w14:textId="44D9BF70" w:rsidR="00F809C2" w:rsidRDefault="00F809C2" w:rsidP="00D43D3F">
      <w:pPr>
        <w:pStyle w:val="Observation"/>
        <w:rPr>
          <w:lang w:val="en-US"/>
        </w:rPr>
      </w:pPr>
      <w:bookmarkStart w:id="2" w:name="_Toc490153038"/>
      <w:bookmarkStart w:id="3" w:name="_Toc490153103"/>
      <w:bookmarkStart w:id="4" w:name="_Toc490228955"/>
      <w:bookmarkStart w:id="5" w:name="_Toc490229024"/>
      <w:r>
        <w:rPr>
          <w:lang w:val="en-US"/>
        </w:rPr>
        <w:t xml:space="preserve">Resource allocation type 0 is the allocation strategy that provides the highest spectrum utlilization and user throughput for </w:t>
      </w:r>
      <w:r w:rsidR="001575EE">
        <w:rPr>
          <w:lang w:val="en-US"/>
        </w:rPr>
        <w:t xml:space="preserve">downlink </w:t>
      </w:r>
      <w:r>
        <w:rPr>
          <w:lang w:val="en-US"/>
        </w:rPr>
        <w:t xml:space="preserve">scheduling </w:t>
      </w:r>
      <w:r w:rsidR="006C76D0">
        <w:rPr>
          <w:lang w:val="en-US"/>
        </w:rPr>
        <w:t xml:space="preserve">of </w:t>
      </w:r>
      <w:r>
        <w:rPr>
          <w:lang w:val="en-US"/>
        </w:rPr>
        <w:t xml:space="preserve">a single </w:t>
      </w:r>
      <w:r w:rsidR="00E645D3">
        <w:rPr>
          <w:lang w:val="en-US"/>
        </w:rPr>
        <w:t>higher category UE</w:t>
      </w:r>
      <w:r>
        <w:rPr>
          <w:lang w:val="en-US"/>
        </w:rPr>
        <w:t>.</w:t>
      </w:r>
      <w:bookmarkEnd w:id="2"/>
      <w:bookmarkEnd w:id="3"/>
      <w:bookmarkEnd w:id="4"/>
      <w:bookmarkEnd w:id="5"/>
    </w:p>
    <w:p w14:paraId="203B5118" w14:textId="3CD6D14A" w:rsidR="00EC496F" w:rsidRDefault="00E57056" w:rsidP="00F7082E">
      <w:r>
        <w:t>Since</w:t>
      </w:r>
      <w:r>
        <w:rPr>
          <w:lang w:val="en-US"/>
        </w:rPr>
        <w:t xml:space="preserve"> mobile broadband traffic often has a bursty nature, there are several subframes where only a single higher category </w:t>
      </w:r>
      <w:r>
        <w:t xml:space="preserve">(&gt;= Cat-0) </w:t>
      </w:r>
      <w:r>
        <w:rPr>
          <w:lang w:val="en-US"/>
        </w:rPr>
        <w:t>UE user is being active. Thus, there is an interest in optimizing the spectrum utliization for scheduling of one single higher category UE with resource allocation type 0 and one or several BL/CE UE in the same sub frame.</w:t>
      </w:r>
    </w:p>
    <w:p w14:paraId="0C84EF4E" w14:textId="00B648AD" w:rsidR="00ED53B1" w:rsidRDefault="00ED53B1" w:rsidP="00F7082E">
      <w:r>
        <w:t xml:space="preserve">An example of </w:t>
      </w:r>
      <w:r w:rsidR="00A038F0">
        <w:t>scheduling</w:t>
      </w:r>
      <w:r>
        <w:t xml:space="preserve"> one higher category UE while fully utilizing on</w:t>
      </w:r>
      <w:r w:rsidR="000E4441">
        <w:t>e</w:t>
      </w:r>
      <w:r>
        <w:t xml:space="preserve"> narrowband for BL/CE traffic is </w:t>
      </w:r>
      <w:r w:rsidR="00A038F0">
        <w:t>displayed</w:t>
      </w:r>
      <w:r>
        <w:t xml:space="preserve"> in </w:t>
      </w:r>
      <w:r>
        <w:fldChar w:fldCharType="begin"/>
      </w:r>
      <w:r>
        <w:instrText xml:space="preserve"> REF _Ref481761257 \h </w:instrText>
      </w:r>
      <w:r>
        <w:fldChar w:fldCharType="separate"/>
      </w:r>
      <w:r w:rsidR="00B508BC">
        <w:t xml:space="preserve">Figure </w:t>
      </w:r>
      <w:r w:rsidR="00B508BC">
        <w:rPr>
          <w:noProof/>
        </w:rPr>
        <w:t>1</w:t>
      </w:r>
      <w:r>
        <w:fldChar w:fldCharType="end"/>
      </w:r>
      <w:r w:rsidR="000E4441">
        <w:t xml:space="preserve"> for the case of 10MHz system bandwidth</w:t>
      </w:r>
      <w:r>
        <w:t>. Th</w:t>
      </w:r>
      <w:r w:rsidR="000E4441">
        <w:t>e PRBs marked with blue are PRBs</w:t>
      </w:r>
      <w:r>
        <w:t xml:space="preserve"> used for BL/CE traffic, the PRBs marked in green are PRBs used for the higher category UE</w:t>
      </w:r>
      <w:r w:rsidR="000E4441">
        <w:t xml:space="preserve">, and the PRBs </w:t>
      </w:r>
      <w:r w:rsidR="0089424E">
        <w:t>marked with red are PRB</w:t>
      </w:r>
      <w:r w:rsidR="000E4441">
        <w:t xml:space="preserve">s that neither may be used by the BL/CE UE </w:t>
      </w:r>
      <w:r w:rsidR="00DE3BC4">
        <w:t>n</w:t>
      </w:r>
      <w:r w:rsidR="000E4441">
        <w:t>or the higher category UE due to the misalignment between the narrowband and the resource block groups.</w:t>
      </w:r>
      <w:r w:rsidR="0027342E">
        <w:t xml:space="preserve"> In this example, </w:t>
      </w:r>
      <w:r w:rsidR="0027342E">
        <w:rPr>
          <w:rFonts w:cs="Arial"/>
          <w:lang w:val="en-US"/>
        </w:rPr>
        <w:t>the BL/CE narrowband will consume 9 out of 50 (18%) of the PRBs due to the blocking of 3 resource block groups.  The effect of the NB misalignment to the RBG is that 41 of 50 instead of 44 of 50 may be used for other traffic. Thus there is a (1-41/44) = 6.8% degradation of the efficiency due that some PRBs are in resource block groups contained in the narrowband.</w:t>
      </w:r>
    </w:p>
    <w:p w14:paraId="2FFBB8C0" w14:textId="5237F3AD" w:rsidR="00ED53B1" w:rsidRDefault="00ED53B1" w:rsidP="00ED53B1">
      <w:pPr>
        <w:keepNext/>
      </w:pPr>
      <w:r>
        <w:rPr>
          <w:noProof/>
          <w:lang w:val="sv-SE" w:eastAsia="sv-SE"/>
        </w:rPr>
        <w:drawing>
          <wp:inline distT="0" distB="0" distL="0" distR="0" wp14:anchorId="478C1BA0" wp14:editId="5E5AD682">
            <wp:extent cx="6120765" cy="6210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arrowbandAndRbg.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20765" cy="621030"/>
                    </a:xfrm>
                    <a:prstGeom prst="rect">
                      <a:avLst/>
                    </a:prstGeom>
                  </pic:spPr>
                </pic:pic>
              </a:graphicData>
            </a:graphic>
          </wp:inline>
        </w:drawing>
      </w:r>
    </w:p>
    <w:p w14:paraId="7303F1AF" w14:textId="389D3B16" w:rsidR="00ED53B1" w:rsidRDefault="00ED53B1" w:rsidP="000E4441">
      <w:pPr>
        <w:pStyle w:val="Caption"/>
        <w:jc w:val="both"/>
      </w:pPr>
      <w:bookmarkStart w:id="6" w:name="_Ref481761257"/>
      <w:r>
        <w:t xml:space="preserve">Figure </w:t>
      </w:r>
      <w:r>
        <w:fldChar w:fldCharType="begin"/>
      </w:r>
      <w:r>
        <w:instrText xml:space="preserve"> SEQ Figure \* ARABIC </w:instrText>
      </w:r>
      <w:r>
        <w:fldChar w:fldCharType="separate"/>
      </w:r>
      <w:r w:rsidR="00B508BC">
        <w:rPr>
          <w:noProof/>
        </w:rPr>
        <w:t>1</w:t>
      </w:r>
      <w:r>
        <w:fldChar w:fldCharType="end"/>
      </w:r>
      <w:bookmarkEnd w:id="6"/>
      <w:r>
        <w:t>: Example of</w:t>
      </w:r>
      <w:r w:rsidR="0027342E">
        <w:t xml:space="preserve"> misalignment between</w:t>
      </w:r>
      <w:r>
        <w:t xml:space="preserve"> the BL/CE narrowband and the LTE resource block gr</w:t>
      </w:r>
      <w:r w:rsidR="0027342E">
        <w:t>oup for system bandwidth 10MHz.</w:t>
      </w:r>
    </w:p>
    <w:p w14:paraId="40E0AA8B" w14:textId="3A7B0224" w:rsidR="004371DF" w:rsidRDefault="00E57269" w:rsidP="00F7082E">
      <w:r>
        <w:lastRenderedPageBreak/>
        <w:t xml:space="preserve">The effect </w:t>
      </w:r>
      <w:r w:rsidR="00F7082E">
        <w:t xml:space="preserve">of </w:t>
      </w:r>
      <w:r w:rsidR="004371DF">
        <w:t>t</w:t>
      </w:r>
      <w:r w:rsidR="00FB0457">
        <w:t>he misalignment between the BL/CE</w:t>
      </w:r>
      <w:r w:rsidR="004371DF">
        <w:t xml:space="preserve"> narrowband and the LTE resource block groups when </w:t>
      </w:r>
      <w:r w:rsidR="00F7082E">
        <w:t>scheduling</w:t>
      </w:r>
      <w:r w:rsidR="00EB30F6">
        <w:t xml:space="preserve"> PDSCH on all six PRBs in one narrowband</w:t>
      </w:r>
      <w:r w:rsidR="00F7082E">
        <w:t xml:space="preserve"> on the possible util</w:t>
      </w:r>
      <w:r w:rsidR="00665F35">
        <w:t>ization of PRBs for one higher category UE</w:t>
      </w:r>
      <w:r w:rsidR="00F7082E">
        <w:t xml:space="preserve"> is outlined in Table 1</w:t>
      </w:r>
      <w:r w:rsidR="000E4441">
        <w:t xml:space="preserve"> for all system bandwidths</w:t>
      </w:r>
      <w:r w:rsidR="00F7082E">
        <w:t xml:space="preserve">. </w:t>
      </w:r>
    </w:p>
    <w:p w14:paraId="78E8462F" w14:textId="14699CA1" w:rsidR="00F7082E" w:rsidRDefault="00F7082E" w:rsidP="00F7082E">
      <w:pPr>
        <w:pStyle w:val="Caption"/>
        <w:keepNext/>
      </w:pPr>
      <w:r>
        <w:t xml:space="preserve">Table </w:t>
      </w:r>
      <w:r>
        <w:fldChar w:fldCharType="begin"/>
      </w:r>
      <w:r>
        <w:instrText xml:space="preserve"> SEQ Table \* ARABIC </w:instrText>
      </w:r>
      <w:r>
        <w:fldChar w:fldCharType="separate"/>
      </w:r>
      <w:r w:rsidR="00B508BC">
        <w:rPr>
          <w:noProof/>
        </w:rPr>
        <w:t>1</w:t>
      </w:r>
      <w:r>
        <w:fldChar w:fldCharType="end"/>
      </w:r>
      <w:r>
        <w:t xml:space="preserve">: </w:t>
      </w:r>
      <w:r w:rsidR="00665F35">
        <w:t xml:space="preserve">Effect of the unused PRBs due to </w:t>
      </w:r>
      <w:r w:rsidR="00C11283">
        <w:t xml:space="preserve">the misalignment of </w:t>
      </w:r>
      <w:r w:rsidR="00665F35">
        <w:t>narrowban</w:t>
      </w:r>
      <w:r w:rsidR="00C11283">
        <w:t xml:space="preserve">d and resource block group </w:t>
      </w:r>
      <w:r w:rsidR="00665F35">
        <w:t xml:space="preserve">for </w:t>
      </w:r>
      <w:r w:rsidR="006F75FD">
        <w:t xml:space="preserve">PDSCH </w:t>
      </w:r>
      <w:r w:rsidRPr="0088129B">
        <w:t>a</w:t>
      </w:r>
      <w:r w:rsidR="00665F35">
        <w:t>llocation of one single higher Category UE</w:t>
      </w:r>
      <w:r w:rsidR="006F75FD">
        <w:t>.</w:t>
      </w:r>
    </w:p>
    <w:tbl>
      <w:tblPr>
        <w:tblStyle w:val="TableGrid"/>
        <w:tblW w:w="9865" w:type="dxa"/>
        <w:tblLook w:val="04A0" w:firstRow="1" w:lastRow="0" w:firstColumn="1" w:lastColumn="0" w:noHBand="0" w:noVBand="1"/>
      </w:tblPr>
      <w:tblGrid>
        <w:gridCol w:w="819"/>
        <w:gridCol w:w="866"/>
        <w:gridCol w:w="683"/>
        <w:gridCol w:w="920"/>
        <w:gridCol w:w="923"/>
        <w:gridCol w:w="920"/>
        <w:gridCol w:w="922"/>
        <w:gridCol w:w="940"/>
        <w:gridCol w:w="940"/>
        <w:gridCol w:w="966"/>
        <w:gridCol w:w="966"/>
      </w:tblGrid>
      <w:tr w:rsidR="001131A6" w14:paraId="442596AE" w14:textId="77777777" w:rsidTr="001131A6">
        <w:tc>
          <w:tcPr>
            <w:tcW w:w="819" w:type="dxa"/>
            <w:vMerge w:val="restart"/>
            <w:shd w:val="clear" w:color="auto" w:fill="D5DCE4" w:themeFill="text2" w:themeFillTint="33"/>
            <w:vAlign w:val="center"/>
          </w:tcPr>
          <w:p w14:paraId="322172C1" w14:textId="13ABF691" w:rsidR="001131A6" w:rsidRDefault="001131A6" w:rsidP="00E57269">
            <w:pPr>
              <w:keepNext/>
              <w:keepLines/>
              <w:spacing w:after="0"/>
              <w:jc w:val="center"/>
              <w:rPr>
                <w:rFonts w:cs="Arial"/>
                <w:lang w:val="en-US"/>
              </w:rPr>
            </w:pPr>
            <w:r w:rsidRPr="00C13D72">
              <w:rPr>
                <w:color w:val="000000"/>
                <w:sz w:val="18"/>
                <w:szCs w:val="18"/>
              </w:rPr>
              <w:t>System BW</w:t>
            </w:r>
          </w:p>
        </w:tc>
        <w:tc>
          <w:tcPr>
            <w:tcW w:w="866" w:type="dxa"/>
            <w:vMerge w:val="restart"/>
            <w:shd w:val="clear" w:color="auto" w:fill="D5DCE4" w:themeFill="text2" w:themeFillTint="33"/>
            <w:vAlign w:val="center"/>
          </w:tcPr>
          <w:p w14:paraId="483C12CE" w14:textId="1658A89A" w:rsidR="001131A6" w:rsidRDefault="001131A6" w:rsidP="00E57269">
            <w:pPr>
              <w:keepNext/>
              <w:keepLines/>
              <w:spacing w:after="0"/>
              <w:jc w:val="center"/>
              <w:rPr>
                <w:rFonts w:cs="Arial"/>
                <w:lang w:val="en-US"/>
              </w:rPr>
            </w:pPr>
            <w:r>
              <w:rPr>
                <w:color w:val="000000"/>
                <w:sz w:val="18"/>
                <w:szCs w:val="18"/>
              </w:rPr>
              <w:t>Total number of</w:t>
            </w:r>
            <w:r w:rsidRPr="00C13D72">
              <w:rPr>
                <w:color w:val="000000"/>
                <w:sz w:val="18"/>
                <w:szCs w:val="18"/>
              </w:rPr>
              <w:t xml:space="preserve"> PRB</w:t>
            </w:r>
            <w:r>
              <w:rPr>
                <w:color w:val="000000"/>
                <w:sz w:val="18"/>
                <w:szCs w:val="18"/>
              </w:rPr>
              <w:t>s</w:t>
            </w:r>
          </w:p>
        </w:tc>
        <w:tc>
          <w:tcPr>
            <w:tcW w:w="683" w:type="dxa"/>
            <w:vMerge w:val="restart"/>
            <w:shd w:val="clear" w:color="auto" w:fill="D5DCE4" w:themeFill="text2" w:themeFillTint="33"/>
            <w:vAlign w:val="center"/>
          </w:tcPr>
          <w:p w14:paraId="43AA479F" w14:textId="4B790624" w:rsidR="001131A6" w:rsidRDefault="001131A6" w:rsidP="00E57269">
            <w:pPr>
              <w:keepNext/>
              <w:keepLines/>
              <w:spacing w:after="0"/>
              <w:jc w:val="center"/>
              <w:rPr>
                <w:rFonts w:cs="Arial"/>
                <w:lang w:val="en-US"/>
              </w:rPr>
            </w:pPr>
            <w:r w:rsidRPr="00C13D72">
              <w:rPr>
                <w:color w:val="000000"/>
                <w:sz w:val="18"/>
                <w:szCs w:val="18"/>
              </w:rPr>
              <w:t>RBG size</w:t>
            </w:r>
          </w:p>
        </w:tc>
        <w:tc>
          <w:tcPr>
            <w:tcW w:w="1843" w:type="dxa"/>
            <w:gridSpan w:val="2"/>
            <w:shd w:val="clear" w:color="auto" w:fill="D5DCE4" w:themeFill="text2" w:themeFillTint="33"/>
            <w:vAlign w:val="center"/>
          </w:tcPr>
          <w:p w14:paraId="37F6EC7E" w14:textId="35DC6814" w:rsidR="001131A6" w:rsidRDefault="001131A6" w:rsidP="00E57269">
            <w:pPr>
              <w:keepNext/>
              <w:keepLines/>
              <w:spacing w:after="0"/>
              <w:jc w:val="center"/>
              <w:rPr>
                <w:rFonts w:cs="Arial"/>
                <w:lang w:val="en-US"/>
              </w:rPr>
            </w:pPr>
            <w:r>
              <w:rPr>
                <w:color w:val="000000"/>
                <w:sz w:val="18"/>
                <w:szCs w:val="18"/>
              </w:rPr>
              <w:t>#</w:t>
            </w:r>
            <w:r w:rsidRPr="00C13D72">
              <w:rPr>
                <w:color w:val="000000"/>
                <w:sz w:val="18"/>
                <w:szCs w:val="18"/>
              </w:rPr>
              <w:t>RBG</w:t>
            </w:r>
            <w:r>
              <w:rPr>
                <w:color w:val="000000"/>
                <w:sz w:val="18"/>
                <w:szCs w:val="18"/>
              </w:rPr>
              <w:t>s</w:t>
            </w:r>
            <w:r w:rsidRPr="00C13D72">
              <w:rPr>
                <w:color w:val="000000"/>
                <w:sz w:val="18"/>
                <w:szCs w:val="18"/>
              </w:rPr>
              <w:t xml:space="preserve"> per NB</w:t>
            </w:r>
          </w:p>
        </w:tc>
        <w:tc>
          <w:tcPr>
            <w:tcW w:w="1842" w:type="dxa"/>
            <w:gridSpan w:val="2"/>
            <w:shd w:val="clear" w:color="auto" w:fill="D5DCE4" w:themeFill="text2" w:themeFillTint="33"/>
            <w:vAlign w:val="center"/>
          </w:tcPr>
          <w:p w14:paraId="78C2BF28" w14:textId="1B904A8E" w:rsidR="001131A6" w:rsidRPr="00E57269" w:rsidRDefault="001131A6" w:rsidP="00E57269">
            <w:pPr>
              <w:keepNext/>
              <w:keepLines/>
              <w:spacing w:after="0"/>
              <w:jc w:val="center"/>
              <w:rPr>
                <w:color w:val="000000"/>
                <w:sz w:val="18"/>
                <w:szCs w:val="18"/>
              </w:rPr>
            </w:pPr>
            <w:r>
              <w:rPr>
                <w:color w:val="000000"/>
                <w:sz w:val="18"/>
                <w:szCs w:val="18"/>
              </w:rPr>
              <w:t>#</w:t>
            </w:r>
            <w:r w:rsidRPr="00C13D72">
              <w:rPr>
                <w:color w:val="000000"/>
                <w:sz w:val="18"/>
                <w:szCs w:val="18"/>
              </w:rPr>
              <w:t xml:space="preserve"> unused PRB</w:t>
            </w:r>
            <w:r>
              <w:rPr>
                <w:color w:val="000000"/>
                <w:sz w:val="18"/>
                <w:szCs w:val="18"/>
              </w:rPr>
              <w:t>s due to one NB</w:t>
            </w:r>
          </w:p>
        </w:tc>
        <w:tc>
          <w:tcPr>
            <w:tcW w:w="1880" w:type="dxa"/>
            <w:gridSpan w:val="2"/>
            <w:shd w:val="clear" w:color="auto" w:fill="D5DCE4" w:themeFill="text2" w:themeFillTint="33"/>
            <w:vAlign w:val="center"/>
          </w:tcPr>
          <w:p w14:paraId="5C26F59C" w14:textId="5B5393F0" w:rsidR="001131A6" w:rsidRDefault="001131A6" w:rsidP="00E57269">
            <w:pPr>
              <w:keepNext/>
              <w:keepLines/>
              <w:spacing w:after="0"/>
              <w:jc w:val="center"/>
              <w:rPr>
                <w:rFonts w:cs="Arial"/>
                <w:lang w:val="en-US"/>
              </w:rPr>
            </w:pPr>
            <w:r w:rsidRPr="00C13D72">
              <w:rPr>
                <w:color w:val="000000"/>
                <w:sz w:val="18"/>
                <w:szCs w:val="18"/>
              </w:rPr>
              <w:t>Effect of unused PRB</w:t>
            </w:r>
          </w:p>
        </w:tc>
        <w:tc>
          <w:tcPr>
            <w:tcW w:w="1932" w:type="dxa"/>
            <w:gridSpan w:val="2"/>
            <w:shd w:val="clear" w:color="auto" w:fill="D5DCE4" w:themeFill="text2" w:themeFillTint="33"/>
            <w:vAlign w:val="center"/>
          </w:tcPr>
          <w:p w14:paraId="5DA954C3" w14:textId="47DB32B1" w:rsidR="001131A6" w:rsidRPr="00B83A55" w:rsidRDefault="001131A6" w:rsidP="00E57269">
            <w:pPr>
              <w:keepNext/>
              <w:keepLines/>
              <w:spacing w:after="0"/>
              <w:jc w:val="center"/>
              <w:rPr>
                <w:rFonts w:cs="Arial"/>
                <w:sz w:val="18"/>
                <w:szCs w:val="18"/>
                <w:lang w:val="en-US"/>
              </w:rPr>
            </w:pPr>
            <w:r>
              <w:rPr>
                <w:rFonts w:cs="Arial"/>
                <w:sz w:val="18"/>
                <w:szCs w:val="18"/>
                <w:lang w:val="en-US"/>
              </w:rPr>
              <w:t>Description of NB set</w:t>
            </w:r>
          </w:p>
        </w:tc>
      </w:tr>
      <w:tr w:rsidR="001131A6" w14:paraId="7B068A72" w14:textId="77777777" w:rsidTr="003A7264">
        <w:tc>
          <w:tcPr>
            <w:tcW w:w="819" w:type="dxa"/>
            <w:vMerge/>
            <w:vAlign w:val="center"/>
          </w:tcPr>
          <w:p w14:paraId="711262E1" w14:textId="35658BAB" w:rsidR="001131A6" w:rsidRDefault="001131A6" w:rsidP="001131A6">
            <w:pPr>
              <w:keepNext/>
              <w:keepLines/>
              <w:spacing w:after="0"/>
              <w:jc w:val="center"/>
              <w:rPr>
                <w:rFonts w:cs="Arial"/>
                <w:lang w:val="en-US"/>
              </w:rPr>
            </w:pPr>
          </w:p>
        </w:tc>
        <w:tc>
          <w:tcPr>
            <w:tcW w:w="866" w:type="dxa"/>
            <w:vMerge/>
            <w:vAlign w:val="center"/>
          </w:tcPr>
          <w:p w14:paraId="6968517D" w14:textId="1AAA67B1" w:rsidR="001131A6" w:rsidRDefault="001131A6" w:rsidP="001131A6">
            <w:pPr>
              <w:keepNext/>
              <w:keepLines/>
              <w:spacing w:after="0"/>
              <w:jc w:val="center"/>
              <w:rPr>
                <w:rFonts w:cs="Arial"/>
                <w:lang w:val="en-US"/>
              </w:rPr>
            </w:pPr>
          </w:p>
        </w:tc>
        <w:tc>
          <w:tcPr>
            <w:tcW w:w="683" w:type="dxa"/>
            <w:vMerge/>
            <w:vAlign w:val="center"/>
          </w:tcPr>
          <w:p w14:paraId="620B1D12" w14:textId="78AACCA0" w:rsidR="001131A6" w:rsidRDefault="001131A6" w:rsidP="001131A6">
            <w:pPr>
              <w:keepNext/>
              <w:keepLines/>
              <w:spacing w:after="0"/>
              <w:jc w:val="center"/>
              <w:rPr>
                <w:rFonts w:cs="Arial"/>
                <w:lang w:val="en-US"/>
              </w:rPr>
            </w:pPr>
          </w:p>
        </w:tc>
        <w:tc>
          <w:tcPr>
            <w:tcW w:w="920" w:type="dxa"/>
            <w:shd w:val="clear" w:color="auto" w:fill="D5DCE4" w:themeFill="text2" w:themeFillTint="33"/>
            <w:vAlign w:val="center"/>
          </w:tcPr>
          <w:p w14:paraId="5F67349F" w14:textId="18887B05" w:rsidR="001131A6" w:rsidRDefault="001131A6" w:rsidP="001131A6">
            <w:pPr>
              <w:keepNext/>
              <w:keepLines/>
              <w:spacing w:after="0"/>
              <w:jc w:val="center"/>
              <w:rPr>
                <w:rFonts w:cs="Arial"/>
                <w:lang w:val="en-US"/>
              </w:rPr>
            </w:pPr>
            <w:r w:rsidRPr="00C13D72">
              <w:rPr>
                <w:color w:val="000000"/>
                <w:sz w:val="18"/>
                <w:szCs w:val="18"/>
              </w:rPr>
              <w:t>Set #1</w:t>
            </w:r>
          </w:p>
        </w:tc>
        <w:tc>
          <w:tcPr>
            <w:tcW w:w="923" w:type="dxa"/>
            <w:shd w:val="clear" w:color="auto" w:fill="D5DCE4" w:themeFill="text2" w:themeFillTint="33"/>
            <w:vAlign w:val="center"/>
          </w:tcPr>
          <w:p w14:paraId="155AA5FC" w14:textId="46E42C7B" w:rsidR="001131A6" w:rsidRDefault="001131A6" w:rsidP="001131A6">
            <w:pPr>
              <w:keepNext/>
              <w:keepLines/>
              <w:spacing w:after="0"/>
              <w:jc w:val="center"/>
              <w:rPr>
                <w:rFonts w:cs="Arial"/>
                <w:lang w:val="en-US"/>
              </w:rPr>
            </w:pPr>
            <w:r w:rsidRPr="00C13D72">
              <w:rPr>
                <w:color w:val="000000"/>
                <w:sz w:val="18"/>
                <w:szCs w:val="18"/>
              </w:rPr>
              <w:t>Set #2</w:t>
            </w:r>
          </w:p>
        </w:tc>
        <w:tc>
          <w:tcPr>
            <w:tcW w:w="920" w:type="dxa"/>
            <w:shd w:val="clear" w:color="auto" w:fill="D5DCE4" w:themeFill="text2" w:themeFillTint="33"/>
            <w:vAlign w:val="center"/>
          </w:tcPr>
          <w:p w14:paraId="519E6F71" w14:textId="3A8B5755" w:rsidR="001131A6" w:rsidRDefault="001131A6" w:rsidP="001131A6">
            <w:pPr>
              <w:keepNext/>
              <w:keepLines/>
              <w:spacing w:after="0"/>
              <w:jc w:val="center"/>
              <w:rPr>
                <w:rFonts w:cs="Arial"/>
                <w:lang w:val="en-US"/>
              </w:rPr>
            </w:pPr>
            <w:r w:rsidRPr="00C13D72">
              <w:rPr>
                <w:color w:val="000000"/>
                <w:sz w:val="18"/>
                <w:szCs w:val="18"/>
              </w:rPr>
              <w:t>Set #1</w:t>
            </w:r>
          </w:p>
        </w:tc>
        <w:tc>
          <w:tcPr>
            <w:tcW w:w="922" w:type="dxa"/>
            <w:shd w:val="clear" w:color="auto" w:fill="D5DCE4" w:themeFill="text2" w:themeFillTint="33"/>
            <w:vAlign w:val="center"/>
          </w:tcPr>
          <w:p w14:paraId="4626130C" w14:textId="0EA219E5" w:rsidR="001131A6" w:rsidRDefault="001131A6" w:rsidP="001131A6">
            <w:pPr>
              <w:keepNext/>
              <w:keepLines/>
              <w:spacing w:after="0"/>
              <w:jc w:val="center"/>
              <w:rPr>
                <w:rFonts w:cs="Arial"/>
                <w:lang w:val="en-US"/>
              </w:rPr>
            </w:pPr>
            <w:r w:rsidRPr="00C13D72">
              <w:rPr>
                <w:color w:val="000000"/>
                <w:sz w:val="18"/>
                <w:szCs w:val="18"/>
              </w:rPr>
              <w:t>Set #2</w:t>
            </w:r>
          </w:p>
        </w:tc>
        <w:tc>
          <w:tcPr>
            <w:tcW w:w="940" w:type="dxa"/>
            <w:shd w:val="clear" w:color="auto" w:fill="D5DCE4" w:themeFill="text2" w:themeFillTint="33"/>
            <w:vAlign w:val="center"/>
          </w:tcPr>
          <w:p w14:paraId="3DB59AC3" w14:textId="7BC81AA3" w:rsidR="001131A6" w:rsidRDefault="001131A6" w:rsidP="001131A6">
            <w:pPr>
              <w:keepNext/>
              <w:keepLines/>
              <w:spacing w:after="0"/>
              <w:jc w:val="center"/>
              <w:rPr>
                <w:rFonts w:cs="Arial"/>
                <w:lang w:val="en-US"/>
              </w:rPr>
            </w:pPr>
            <w:r w:rsidRPr="00C13D72">
              <w:rPr>
                <w:color w:val="000000"/>
                <w:sz w:val="18"/>
                <w:szCs w:val="18"/>
              </w:rPr>
              <w:t>Set #1</w:t>
            </w:r>
          </w:p>
        </w:tc>
        <w:tc>
          <w:tcPr>
            <w:tcW w:w="940" w:type="dxa"/>
            <w:shd w:val="clear" w:color="auto" w:fill="D5DCE4" w:themeFill="text2" w:themeFillTint="33"/>
            <w:vAlign w:val="center"/>
          </w:tcPr>
          <w:p w14:paraId="7AFEF7CA" w14:textId="46B2E51D" w:rsidR="001131A6" w:rsidRDefault="001131A6" w:rsidP="001131A6">
            <w:pPr>
              <w:keepNext/>
              <w:keepLines/>
              <w:spacing w:after="0"/>
              <w:jc w:val="center"/>
              <w:rPr>
                <w:rFonts w:cs="Arial"/>
                <w:lang w:val="en-US"/>
              </w:rPr>
            </w:pPr>
            <w:r w:rsidRPr="00C13D72">
              <w:rPr>
                <w:color w:val="000000"/>
                <w:sz w:val="18"/>
                <w:szCs w:val="18"/>
              </w:rPr>
              <w:t>Set #2</w:t>
            </w:r>
          </w:p>
        </w:tc>
        <w:tc>
          <w:tcPr>
            <w:tcW w:w="966" w:type="dxa"/>
            <w:shd w:val="clear" w:color="auto" w:fill="D5DCE4" w:themeFill="text2" w:themeFillTint="33"/>
            <w:vAlign w:val="center"/>
          </w:tcPr>
          <w:p w14:paraId="1682BB5D" w14:textId="0621F80E" w:rsidR="001131A6" w:rsidRDefault="001131A6" w:rsidP="001131A6">
            <w:pPr>
              <w:keepNext/>
              <w:keepLines/>
              <w:spacing w:after="0"/>
              <w:jc w:val="center"/>
              <w:rPr>
                <w:rFonts w:cs="Arial"/>
                <w:lang w:val="en-US"/>
              </w:rPr>
            </w:pPr>
            <w:r w:rsidRPr="00C13D72">
              <w:rPr>
                <w:color w:val="000000"/>
                <w:sz w:val="18"/>
                <w:szCs w:val="18"/>
              </w:rPr>
              <w:t>Set #1</w:t>
            </w:r>
          </w:p>
        </w:tc>
        <w:tc>
          <w:tcPr>
            <w:tcW w:w="966" w:type="dxa"/>
            <w:shd w:val="clear" w:color="auto" w:fill="D5DCE4" w:themeFill="text2" w:themeFillTint="33"/>
            <w:vAlign w:val="center"/>
          </w:tcPr>
          <w:p w14:paraId="2274EF21" w14:textId="6035DE0B" w:rsidR="001131A6" w:rsidRDefault="001131A6" w:rsidP="001131A6">
            <w:pPr>
              <w:keepNext/>
              <w:keepLines/>
              <w:spacing w:after="0"/>
              <w:jc w:val="center"/>
              <w:rPr>
                <w:rFonts w:cs="Arial"/>
                <w:lang w:val="en-US"/>
              </w:rPr>
            </w:pPr>
            <w:r w:rsidRPr="00C13D72">
              <w:rPr>
                <w:color w:val="000000"/>
                <w:sz w:val="18"/>
                <w:szCs w:val="18"/>
              </w:rPr>
              <w:t>Set #2</w:t>
            </w:r>
          </w:p>
        </w:tc>
      </w:tr>
      <w:tr w:rsidR="00E57269" w14:paraId="579D65AB" w14:textId="77777777" w:rsidTr="001131A6">
        <w:tc>
          <w:tcPr>
            <w:tcW w:w="819" w:type="dxa"/>
            <w:shd w:val="clear" w:color="auto" w:fill="auto"/>
            <w:vAlign w:val="center"/>
          </w:tcPr>
          <w:p w14:paraId="44FA1FDD" w14:textId="6BF74672" w:rsidR="00E57269" w:rsidRDefault="00E57269" w:rsidP="00E57269">
            <w:pPr>
              <w:keepNext/>
              <w:keepLines/>
              <w:spacing w:after="0"/>
              <w:jc w:val="center"/>
              <w:rPr>
                <w:rFonts w:cs="Arial"/>
                <w:lang w:val="en-US"/>
              </w:rPr>
            </w:pPr>
            <w:r w:rsidRPr="00C13D72">
              <w:rPr>
                <w:color w:val="000000"/>
                <w:sz w:val="18"/>
                <w:szCs w:val="18"/>
              </w:rPr>
              <w:t>1.4</w:t>
            </w:r>
          </w:p>
        </w:tc>
        <w:tc>
          <w:tcPr>
            <w:tcW w:w="866" w:type="dxa"/>
            <w:shd w:val="clear" w:color="auto" w:fill="auto"/>
            <w:vAlign w:val="center"/>
          </w:tcPr>
          <w:p w14:paraId="4AA54337" w14:textId="085669FF" w:rsidR="00E57269" w:rsidRDefault="00E57269" w:rsidP="00E57269">
            <w:pPr>
              <w:keepNext/>
              <w:keepLines/>
              <w:spacing w:after="0"/>
              <w:jc w:val="center"/>
              <w:rPr>
                <w:rFonts w:cs="Arial"/>
                <w:lang w:val="en-US"/>
              </w:rPr>
            </w:pPr>
            <w:r w:rsidRPr="00C13D72">
              <w:rPr>
                <w:color w:val="000000"/>
                <w:sz w:val="18"/>
                <w:szCs w:val="18"/>
              </w:rPr>
              <w:t>6</w:t>
            </w:r>
          </w:p>
        </w:tc>
        <w:tc>
          <w:tcPr>
            <w:tcW w:w="683" w:type="dxa"/>
            <w:shd w:val="clear" w:color="auto" w:fill="auto"/>
            <w:vAlign w:val="center"/>
          </w:tcPr>
          <w:p w14:paraId="41107E54" w14:textId="762D025F" w:rsidR="00E57269" w:rsidRDefault="00E57269" w:rsidP="00E57269">
            <w:pPr>
              <w:keepNext/>
              <w:keepLines/>
              <w:spacing w:after="0"/>
              <w:jc w:val="center"/>
              <w:rPr>
                <w:rFonts w:cs="Arial"/>
                <w:lang w:val="en-US"/>
              </w:rPr>
            </w:pPr>
            <w:r w:rsidRPr="00C13D72">
              <w:rPr>
                <w:color w:val="000000"/>
                <w:sz w:val="18"/>
                <w:szCs w:val="18"/>
              </w:rPr>
              <w:t>1</w:t>
            </w:r>
          </w:p>
        </w:tc>
        <w:tc>
          <w:tcPr>
            <w:tcW w:w="920" w:type="dxa"/>
            <w:shd w:val="clear" w:color="auto" w:fill="auto"/>
            <w:vAlign w:val="center"/>
          </w:tcPr>
          <w:p w14:paraId="30CB4531" w14:textId="37C0F331" w:rsidR="00E57269" w:rsidRDefault="00E57269" w:rsidP="00E57269">
            <w:pPr>
              <w:keepNext/>
              <w:keepLines/>
              <w:spacing w:after="0"/>
              <w:jc w:val="center"/>
              <w:rPr>
                <w:rFonts w:cs="Arial"/>
                <w:lang w:val="en-US"/>
              </w:rPr>
            </w:pPr>
            <w:r w:rsidRPr="00C13D72">
              <w:rPr>
                <w:color w:val="000000"/>
                <w:sz w:val="18"/>
                <w:szCs w:val="18"/>
              </w:rPr>
              <w:t>6</w:t>
            </w:r>
          </w:p>
        </w:tc>
        <w:tc>
          <w:tcPr>
            <w:tcW w:w="923" w:type="dxa"/>
            <w:shd w:val="clear" w:color="auto" w:fill="auto"/>
            <w:vAlign w:val="center"/>
          </w:tcPr>
          <w:p w14:paraId="012A3921" w14:textId="003E823C" w:rsidR="00E57269" w:rsidRDefault="00E57269" w:rsidP="00E57269">
            <w:pPr>
              <w:keepNext/>
              <w:keepLines/>
              <w:spacing w:after="0"/>
              <w:jc w:val="center"/>
              <w:rPr>
                <w:rFonts w:cs="Arial"/>
                <w:lang w:val="en-US"/>
              </w:rPr>
            </w:pPr>
            <w:r w:rsidRPr="00C13D72">
              <w:rPr>
                <w:color w:val="000000"/>
                <w:sz w:val="18"/>
                <w:szCs w:val="18"/>
              </w:rPr>
              <w:t>N/A</w:t>
            </w:r>
          </w:p>
        </w:tc>
        <w:tc>
          <w:tcPr>
            <w:tcW w:w="920" w:type="dxa"/>
            <w:shd w:val="clear" w:color="auto" w:fill="auto"/>
            <w:vAlign w:val="center"/>
          </w:tcPr>
          <w:p w14:paraId="4BDE4FAD" w14:textId="7916ECB1" w:rsidR="00E57269" w:rsidRDefault="00E57269" w:rsidP="00E57269">
            <w:pPr>
              <w:keepNext/>
              <w:keepLines/>
              <w:spacing w:after="0"/>
              <w:jc w:val="center"/>
              <w:rPr>
                <w:rFonts w:cs="Arial"/>
                <w:lang w:val="en-US"/>
              </w:rPr>
            </w:pPr>
            <w:r w:rsidRPr="00C13D72">
              <w:rPr>
                <w:color w:val="000000"/>
                <w:sz w:val="18"/>
                <w:szCs w:val="18"/>
              </w:rPr>
              <w:t>0</w:t>
            </w:r>
          </w:p>
        </w:tc>
        <w:tc>
          <w:tcPr>
            <w:tcW w:w="922" w:type="dxa"/>
            <w:shd w:val="clear" w:color="auto" w:fill="auto"/>
            <w:vAlign w:val="center"/>
          </w:tcPr>
          <w:p w14:paraId="2AA36B87" w14:textId="3B65C1FA" w:rsidR="00E57269" w:rsidRPr="00665F35" w:rsidRDefault="00665F35" w:rsidP="00E57269">
            <w:pPr>
              <w:keepNext/>
              <w:keepLines/>
              <w:spacing w:after="0"/>
              <w:jc w:val="center"/>
              <w:rPr>
                <w:rFonts w:cs="Arial"/>
                <w:sz w:val="18"/>
                <w:szCs w:val="18"/>
                <w:lang w:val="en-US"/>
              </w:rPr>
            </w:pPr>
            <w:r w:rsidRPr="00665F35">
              <w:rPr>
                <w:rFonts w:cs="Arial"/>
                <w:sz w:val="18"/>
                <w:szCs w:val="18"/>
                <w:lang w:val="en-US"/>
              </w:rPr>
              <w:t>N/A</w:t>
            </w:r>
          </w:p>
        </w:tc>
        <w:tc>
          <w:tcPr>
            <w:tcW w:w="940" w:type="dxa"/>
            <w:shd w:val="clear" w:color="auto" w:fill="E2EFD9" w:themeFill="accent6" w:themeFillTint="33"/>
            <w:vAlign w:val="center"/>
          </w:tcPr>
          <w:p w14:paraId="5A60EA84" w14:textId="36E64E30" w:rsidR="00E57269" w:rsidRPr="00665F35" w:rsidRDefault="00665F35" w:rsidP="00E57269">
            <w:pPr>
              <w:keepNext/>
              <w:keepLines/>
              <w:spacing w:after="0"/>
              <w:jc w:val="center"/>
              <w:rPr>
                <w:rFonts w:cs="Arial"/>
                <w:sz w:val="18"/>
                <w:szCs w:val="18"/>
                <w:lang w:val="en-US"/>
              </w:rPr>
            </w:pPr>
            <w:r w:rsidRPr="00665F35">
              <w:rPr>
                <w:rFonts w:cs="Arial"/>
                <w:sz w:val="18"/>
                <w:szCs w:val="18"/>
                <w:lang w:val="en-US"/>
              </w:rPr>
              <w:t>N/A</w:t>
            </w:r>
          </w:p>
        </w:tc>
        <w:tc>
          <w:tcPr>
            <w:tcW w:w="940" w:type="dxa"/>
            <w:shd w:val="clear" w:color="auto" w:fill="E2EFD9" w:themeFill="accent6" w:themeFillTint="33"/>
            <w:vAlign w:val="center"/>
          </w:tcPr>
          <w:p w14:paraId="5311A6F0" w14:textId="30DD8E6B" w:rsidR="00E57269" w:rsidRPr="00665F35" w:rsidRDefault="00665F35" w:rsidP="00E57269">
            <w:pPr>
              <w:keepNext/>
              <w:keepLines/>
              <w:spacing w:after="0"/>
              <w:jc w:val="center"/>
              <w:rPr>
                <w:rFonts w:cs="Arial"/>
                <w:sz w:val="18"/>
                <w:szCs w:val="18"/>
                <w:lang w:val="en-US"/>
              </w:rPr>
            </w:pPr>
            <w:r w:rsidRPr="00665F35">
              <w:rPr>
                <w:rFonts w:cs="Arial"/>
                <w:sz w:val="18"/>
                <w:szCs w:val="18"/>
                <w:lang w:val="en-US"/>
              </w:rPr>
              <w:t>N/A</w:t>
            </w:r>
          </w:p>
        </w:tc>
        <w:tc>
          <w:tcPr>
            <w:tcW w:w="1932" w:type="dxa"/>
            <w:gridSpan w:val="2"/>
            <w:shd w:val="clear" w:color="auto" w:fill="auto"/>
            <w:vAlign w:val="center"/>
          </w:tcPr>
          <w:p w14:paraId="673E2EFC" w14:textId="398DCEC1" w:rsidR="00E57269" w:rsidRDefault="00665F35" w:rsidP="00E57269">
            <w:pPr>
              <w:keepNext/>
              <w:keepLines/>
              <w:spacing w:after="0"/>
              <w:jc w:val="center"/>
              <w:rPr>
                <w:rFonts w:cs="Arial"/>
                <w:lang w:val="en-US"/>
              </w:rPr>
            </w:pPr>
            <w:r>
              <w:rPr>
                <w:rFonts w:cs="Arial"/>
                <w:lang w:val="en-US"/>
              </w:rPr>
              <w:t>-</w:t>
            </w:r>
          </w:p>
        </w:tc>
      </w:tr>
      <w:tr w:rsidR="001131A6" w14:paraId="6C4E2B18" w14:textId="77777777" w:rsidTr="003A7264">
        <w:tc>
          <w:tcPr>
            <w:tcW w:w="819" w:type="dxa"/>
            <w:shd w:val="clear" w:color="auto" w:fill="auto"/>
            <w:vAlign w:val="center"/>
          </w:tcPr>
          <w:p w14:paraId="4C522F15" w14:textId="4657E4ED" w:rsidR="001131A6" w:rsidRDefault="001131A6" w:rsidP="00E57269">
            <w:pPr>
              <w:keepNext/>
              <w:keepLines/>
              <w:spacing w:after="0"/>
              <w:jc w:val="center"/>
              <w:rPr>
                <w:rFonts w:cs="Arial"/>
                <w:lang w:val="en-US"/>
              </w:rPr>
            </w:pPr>
            <w:r w:rsidRPr="00C13D72">
              <w:rPr>
                <w:color w:val="000000"/>
                <w:sz w:val="18"/>
                <w:szCs w:val="18"/>
              </w:rPr>
              <w:t>3</w:t>
            </w:r>
          </w:p>
        </w:tc>
        <w:tc>
          <w:tcPr>
            <w:tcW w:w="866" w:type="dxa"/>
            <w:shd w:val="clear" w:color="auto" w:fill="auto"/>
            <w:vAlign w:val="center"/>
          </w:tcPr>
          <w:p w14:paraId="07E509EE" w14:textId="34F63D54" w:rsidR="001131A6" w:rsidRDefault="001131A6" w:rsidP="00E57269">
            <w:pPr>
              <w:keepNext/>
              <w:keepLines/>
              <w:spacing w:after="0"/>
              <w:jc w:val="center"/>
              <w:rPr>
                <w:rFonts w:cs="Arial"/>
                <w:lang w:val="en-US"/>
              </w:rPr>
            </w:pPr>
            <w:r w:rsidRPr="00C13D72">
              <w:rPr>
                <w:color w:val="000000"/>
                <w:sz w:val="18"/>
                <w:szCs w:val="18"/>
              </w:rPr>
              <w:t>12</w:t>
            </w:r>
          </w:p>
        </w:tc>
        <w:tc>
          <w:tcPr>
            <w:tcW w:w="683" w:type="dxa"/>
            <w:shd w:val="clear" w:color="auto" w:fill="auto"/>
            <w:vAlign w:val="center"/>
          </w:tcPr>
          <w:p w14:paraId="78BAA601" w14:textId="659B8233" w:rsidR="001131A6" w:rsidRDefault="001131A6" w:rsidP="00E57269">
            <w:pPr>
              <w:keepNext/>
              <w:keepLines/>
              <w:spacing w:after="0"/>
              <w:jc w:val="center"/>
              <w:rPr>
                <w:rFonts w:cs="Arial"/>
                <w:lang w:val="en-US"/>
              </w:rPr>
            </w:pPr>
            <w:r w:rsidRPr="00C13D72">
              <w:rPr>
                <w:color w:val="000000"/>
                <w:sz w:val="18"/>
                <w:szCs w:val="18"/>
              </w:rPr>
              <w:t>2</w:t>
            </w:r>
          </w:p>
        </w:tc>
        <w:tc>
          <w:tcPr>
            <w:tcW w:w="920" w:type="dxa"/>
            <w:shd w:val="clear" w:color="auto" w:fill="auto"/>
            <w:vAlign w:val="center"/>
          </w:tcPr>
          <w:p w14:paraId="2B7F7D8F" w14:textId="19DED1B2" w:rsidR="001131A6" w:rsidRDefault="001131A6" w:rsidP="00E57269">
            <w:pPr>
              <w:keepNext/>
              <w:keepLines/>
              <w:spacing w:after="0"/>
              <w:jc w:val="center"/>
              <w:rPr>
                <w:rFonts w:cs="Arial"/>
                <w:lang w:val="en-US"/>
              </w:rPr>
            </w:pPr>
            <w:r w:rsidRPr="00C13D72">
              <w:rPr>
                <w:color w:val="000000"/>
                <w:sz w:val="18"/>
                <w:szCs w:val="18"/>
              </w:rPr>
              <w:t>4</w:t>
            </w:r>
          </w:p>
        </w:tc>
        <w:tc>
          <w:tcPr>
            <w:tcW w:w="923" w:type="dxa"/>
            <w:shd w:val="clear" w:color="auto" w:fill="auto"/>
            <w:vAlign w:val="center"/>
          </w:tcPr>
          <w:p w14:paraId="5500A0E7" w14:textId="141F541C" w:rsidR="001131A6" w:rsidRDefault="001131A6" w:rsidP="00E57269">
            <w:pPr>
              <w:keepNext/>
              <w:keepLines/>
              <w:spacing w:after="0"/>
              <w:jc w:val="center"/>
              <w:rPr>
                <w:rFonts w:cs="Arial"/>
                <w:lang w:val="en-US"/>
              </w:rPr>
            </w:pPr>
            <w:r w:rsidRPr="00C13D72">
              <w:rPr>
                <w:color w:val="000000"/>
                <w:sz w:val="18"/>
                <w:szCs w:val="18"/>
              </w:rPr>
              <w:t>3</w:t>
            </w:r>
          </w:p>
        </w:tc>
        <w:tc>
          <w:tcPr>
            <w:tcW w:w="920" w:type="dxa"/>
            <w:shd w:val="clear" w:color="auto" w:fill="auto"/>
            <w:vAlign w:val="center"/>
          </w:tcPr>
          <w:p w14:paraId="1429A27A" w14:textId="10EA83BA" w:rsidR="001131A6" w:rsidRDefault="001131A6" w:rsidP="00E57269">
            <w:pPr>
              <w:keepNext/>
              <w:keepLines/>
              <w:spacing w:after="0"/>
              <w:jc w:val="center"/>
              <w:rPr>
                <w:rFonts w:cs="Arial"/>
                <w:lang w:val="en-US"/>
              </w:rPr>
            </w:pPr>
            <w:r w:rsidRPr="00C13D72">
              <w:rPr>
                <w:color w:val="000000"/>
                <w:sz w:val="18"/>
                <w:szCs w:val="18"/>
              </w:rPr>
              <w:t>2</w:t>
            </w:r>
          </w:p>
        </w:tc>
        <w:tc>
          <w:tcPr>
            <w:tcW w:w="922" w:type="dxa"/>
            <w:shd w:val="clear" w:color="auto" w:fill="auto"/>
            <w:vAlign w:val="center"/>
          </w:tcPr>
          <w:p w14:paraId="1C4ACCA8" w14:textId="0FCC29F9" w:rsidR="001131A6" w:rsidRDefault="001131A6" w:rsidP="00E57269">
            <w:pPr>
              <w:keepNext/>
              <w:keepLines/>
              <w:spacing w:after="0"/>
              <w:jc w:val="center"/>
              <w:rPr>
                <w:rFonts w:cs="Arial"/>
                <w:lang w:val="en-US"/>
              </w:rPr>
            </w:pPr>
            <w:r w:rsidRPr="00C13D72">
              <w:rPr>
                <w:color w:val="000000"/>
                <w:sz w:val="18"/>
                <w:szCs w:val="18"/>
              </w:rPr>
              <w:t>0</w:t>
            </w:r>
          </w:p>
        </w:tc>
        <w:tc>
          <w:tcPr>
            <w:tcW w:w="940" w:type="dxa"/>
            <w:shd w:val="clear" w:color="auto" w:fill="E2EFD9" w:themeFill="accent6" w:themeFillTint="33"/>
            <w:vAlign w:val="center"/>
          </w:tcPr>
          <w:p w14:paraId="7C9A148E" w14:textId="2673002A" w:rsidR="001131A6" w:rsidRDefault="001131A6" w:rsidP="00E57269">
            <w:pPr>
              <w:keepNext/>
              <w:keepLines/>
              <w:spacing w:after="0"/>
              <w:jc w:val="center"/>
              <w:rPr>
                <w:rFonts w:cs="Arial"/>
                <w:lang w:val="en-US"/>
              </w:rPr>
            </w:pPr>
            <w:r w:rsidRPr="00C13D72">
              <w:rPr>
                <w:color w:val="000000"/>
                <w:sz w:val="18"/>
                <w:szCs w:val="18"/>
              </w:rPr>
              <w:t>33,3%</w:t>
            </w:r>
          </w:p>
        </w:tc>
        <w:tc>
          <w:tcPr>
            <w:tcW w:w="940" w:type="dxa"/>
            <w:shd w:val="clear" w:color="auto" w:fill="E2EFD9" w:themeFill="accent6" w:themeFillTint="33"/>
            <w:vAlign w:val="center"/>
          </w:tcPr>
          <w:p w14:paraId="3E138F63" w14:textId="24DA0268" w:rsidR="001131A6" w:rsidRDefault="001131A6" w:rsidP="00E57269">
            <w:pPr>
              <w:keepNext/>
              <w:keepLines/>
              <w:spacing w:after="0"/>
              <w:jc w:val="center"/>
              <w:rPr>
                <w:rFonts w:cs="Arial"/>
                <w:lang w:val="en-US"/>
              </w:rPr>
            </w:pPr>
            <w:r>
              <w:rPr>
                <w:color w:val="000000"/>
                <w:sz w:val="18"/>
                <w:szCs w:val="18"/>
              </w:rPr>
              <w:t>0</w:t>
            </w:r>
            <w:r w:rsidRPr="00C13D72">
              <w:rPr>
                <w:color w:val="000000"/>
                <w:sz w:val="18"/>
                <w:szCs w:val="18"/>
              </w:rPr>
              <w:t>%</w:t>
            </w:r>
          </w:p>
        </w:tc>
        <w:tc>
          <w:tcPr>
            <w:tcW w:w="966" w:type="dxa"/>
            <w:shd w:val="clear" w:color="auto" w:fill="auto"/>
            <w:vAlign w:val="center"/>
          </w:tcPr>
          <w:p w14:paraId="791E5AAA" w14:textId="4D12749E" w:rsidR="001131A6" w:rsidRDefault="001131A6" w:rsidP="00E57269">
            <w:pPr>
              <w:keepNext/>
              <w:keepLines/>
              <w:spacing w:after="0"/>
              <w:jc w:val="center"/>
              <w:rPr>
                <w:rFonts w:cs="Arial"/>
                <w:lang w:val="en-US"/>
              </w:rPr>
            </w:pPr>
            <w:r>
              <w:rPr>
                <w:rFonts w:cs="Arial"/>
                <w:lang w:val="en-US"/>
              </w:rPr>
              <w:t>Low</w:t>
            </w:r>
          </w:p>
        </w:tc>
        <w:tc>
          <w:tcPr>
            <w:tcW w:w="966" w:type="dxa"/>
            <w:shd w:val="clear" w:color="auto" w:fill="auto"/>
            <w:vAlign w:val="center"/>
          </w:tcPr>
          <w:p w14:paraId="0F708FED" w14:textId="19E0EE1C" w:rsidR="001131A6" w:rsidRDefault="001131A6" w:rsidP="00E57269">
            <w:pPr>
              <w:keepNext/>
              <w:keepLines/>
              <w:spacing w:after="0"/>
              <w:jc w:val="center"/>
              <w:rPr>
                <w:rFonts w:cs="Arial"/>
                <w:lang w:val="en-US"/>
              </w:rPr>
            </w:pPr>
            <w:r>
              <w:rPr>
                <w:rFonts w:cs="Arial"/>
                <w:lang w:val="en-US"/>
              </w:rPr>
              <w:t>High</w:t>
            </w:r>
          </w:p>
        </w:tc>
      </w:tr>
      <w:tr w:rsidR="001131A6" w14:paraId="7C33FF1A" w14:textId="77777777" w:rsidTr="003A7264">
        <w:tc>
          <w:tcPr>
            <w:tcW w:w="819" w:type="dxa"/>
            <w:shd w:val="clear" w:color="auto" w:fill="auto"/>
            <w:vAlign w:val="center"/>
          </w:tcPr>
          <w:p w14:paraId="0DD83A2C" w14:textId="0BCC9F21" w:rsidR="001131A6" w:rsidRDefault="001131A6" w:rsidP="001131A6">
            <w:pPr>
              <w:keepNext/>
              <w:keepLines/>
              <w:spacing w:after="0"/>
              <w:jc w:val="center"/>
              <w:rPr>
                <w:rFonts w:cs="Arial"/>
                <w:lang w:val="en-US"/>
              </w:rPr>
            </w:pPr>
            <w:r w:rsidRPr="00C13D72">
              <w:rPr>
                <w:color w:val="000000"/>
                <w:sz w:val="18"/>
                <w:szCs w:val="18"/>
              </w:rPr>
              <w:t>5</w:t>
            </w:r>
          </w:p>
        </w:tc>
        <w:tc>
          <w:tcPr>
            <w:tcW w:w="866" w:type="dxa"/>
            <w:shd w:val="clear" w:color="auto" w:fill="auto"/>
            <w:vAlign w:val="center"/>
          </w:tcPr>
          <w:p w14:paraId="3B3C669A" w14:textId="44016F35" w:rsidR="001131A6" w:rsidRDefault="001131A6" w:rsidP="001131A6">
            <w:pPr>
              <w:keepNext/>
              <w:keepLines/>
              <w:spacing w:after="0"/>
              <w:jc w:val="center"/>
              <w:rPr>
                <w:rFonts w:cs="Arial"/>
                <w:lang w:val="en-US"/>
              </w:rPr>
            </w:pPr>
            <w:r w:rsidRPr="00C13D72">
              <w:rPr>
                <w:color w:val="000000"/>
                <w:sz w:val="18"/>
                <w:szCs w:val="18"/>
              </w:rPr>
              <w:t>25</w:t>
            </w:r>
          </w:p>
        </w:tc>
        <w:tc>
          <w:tcPr>
            <w:tcW w:w="683" w:type="dxa"/>
            <w:shd w:val="clear" w:color="auto" w:fill="auto"/>
            <w:vAlign w:val="center"/>
          </w:tcPr>
          <w:p w14:paraId="1738F9C4" w14:textId="06142344" w:rsidR="001131A6" w:rsidRDefault="001131A6" w:rsidP="001131A6">
            <w:pPr>
              <w:keepNext/>
              <w:keepLines/>
              <w:spacing w:after="0"/>
              <w:jc w:val="center"/>
              <w:rPr>
                <w:rFonts w:cs="Arial"/>
                <w:lang w:val="en-US"/>
              </w:rPr>
            </w:pPr>
            <w:r w:rsidRPr="00C13D72">
              <w:rPr>
                <w:color w:val="000000"/>
                <w:sz w:val="18"/>
                <w:szCs w:val="18"/>
              </w:rPr>
              <w:t>2</w:t>
            </w:r>
          </w:p>
        </w:tc>
        <w:tc>
          <w:tcPr>
            <w:tcW w:w="920" w:type="dxa"/>
            <w:shd w:val="clear" w:color="auto" w:fill="auto"/>
            <w:vAlign w:val="center"/>
          </w:tcPr>
          <w:p w14:paraId="7FD2832E" w14:textId="4D99A777" w:rsidR="001131A6" w:rsidRDefault="001131A6" w:rsidP="001131A6">
            <w:pPr>
              <w:keepNext/>
              <w:keepLines/>
              <w:spacing w:after="0"/>
              <w:jc w:val="center"/>
              <w:rPr>
                <w:rFonts w:cs="Arial"/>
                <w:lang w:val="en-US"/>
              </w:rPr>
            </w:pPr>
            <w:r w:rsidRPr="00C13D72">
              <w:rPr>
                <w:color w:val="000000"/>
                <w:sz w:val="18"/>
                <w:szCs w:val="18"/>
              </w:rPr>
              <w:t>3</w:t>
            </w:r>
          </w:p>
        </w:tc>
        <w:tc>
          <w:tcPr>
            <w:tcW w:w="923" w:type="dxa"/>
            <w:shd w:val="clear" w:color="auto" w:fill="auto"/>
            <w:vAlign w:val="center"/>
          </w:tcPr>
          <w:p w14:paraId="49FF77A4" w14:textId="1ABA702D" w:rsidR="001131A6" w:rsidRDefault="001131A6" w:rsidP="001131A6">
            <w:pPr>
              <w:keepNext/>
              <w:keepLines/>
              <w:spacing w:after="0"/>
              <w:jc w:val="center"/>
              <w:rPr>
                <w:rFonts w:cs="Arial"/>
                <w:lang w:val="en-US"/>
              </w:rPr>
            </w:pPr>
            <w:r w:rsidRPr="00C13D72">
              <w:rPr>
                <w:color w:val="000000"/>
                <w:sz w:val="18"/>
                <w:szCs w:val="18"/>
              </w:rPr>
              <w:t>4</w:t>
            </w:r>
          </w:p>
        </w:tc>
        <w:tc>
          <w:tcPr>
            <w:tcW w:w="920" w:type="dxa"/>
            <w:shd w:val="clear" w:color="auto" w:fill="auto"/>
            <w:vAlign w:val="center"/>
          </w:tcPr>
          <w:p w14:paraId="689DB933" w14:textId="7D6E300E" w:rsidR="001131A6" w:rsidRDefault="001131A6" w:rsidP="001131A6">
            <w:pPr>
              <w:keepNext/>
              <w:keepLines/>
              <w:spacing w:after="0"/>
              <w:jc w:val="center"/>
              <w:rPr>
                <w:rFonts w:cs="Arial"/>
                <w:lang w:val="en-US"/>
              </w:rPr>
            </w:pPr>
            <w:r w:rsidRPr="00C13D72">
              <w:rPr>
                <w:color w:val="000000"/>
                <w:sz w:val="18"/>
                <w:szCs w:val="18"/>
              </w:rPr>
              <w:t>0</w:t>
            </w:r>
          </w:p>
        </w:tc>
        <w:tc>
          <w:tcPr>
            <w:tcW w:w="922" w:type="dxa"/>
            <w:shd w:val="clear" w:color="auto" w:fill="auto"/>
            <w:vAlign w:val="center"/>
          </w:tcPr>
          <w:p w14:paraId="05D6C594" w14:textId="073694C2" w:rsidR="001131A6" w:rsidRDefault="001131A6" w:rsidP="001131A6">
            <w:pPr>
              <w:keepNext/>
              <w:keepLines/>
              <w:spacing w:after="0"/>
              <w:jc w:val="center"/>
              <w:rPr>
                <w:rFonts w:cs="Arial"/>
                <w:lang w:val="en-US"/>
              </w:rPr>
            </w:pPr>
            <w:r w:rsidRPr="00C13D72">
              <w:rPr>
                <w:color w:val="000000"/>
                <w:sz w:val="18"/>
                <w:szCs w:val="18"/>
              </w:rPr>
              <w:t>2</w:t>
            </w:r>
          </w:p>
        </w:tc>
        <w:tc>
          <w:tcPr>
            <w:tcW w:w="940" w:type="dxa"/>
            <w:shd w:val="clear" w:color="auto" w:fill="E2EFD9" w:themeFill="accent6" w:themeFillTint="33"/>
            <w:vAlign w:val="center"/>
          </w:tcPr>
          <w:p w14:paraId="1B666F66" w14:textId="53F579C4" w:rsidR="001131A6" w:rsidRDefault="001131A6" w:rsidP="001131A6">
            <w:pPr>
              <w:keepNext/>
              <w:keepLines/>
              <w:spacing w:after="0"/>
              <w:jc w:val="center"/>
              <w:rPr>
                <w:rFonts w:cs="Arial"/>
                <w:lang w:val="en-US"/>
              </w:rPr>
            </w:pPr>
            <w:r>
              <w:rPr>
                <w:color w:val="000000"/>
                <w:sz w:val="18"/>
                <w:szCs w:val="18"/>
              </w:rPr>
              <w:t>0</w:t>
            </w:r>
            <w:r w:rsidRPr="00C13D72">
              <w:rPr>
                <w:color w:val="000000"/>
                <w:sz w:val="18"/>
                <w:szCs w:val="18"/>
              </w:rPr>
              <w:t>%</w:t>
            </w:r>
          </w:p>
        </w:tc>
        <w:tc>
          <w:tcPr>
            <w:tcW w:w="940" w:type="dxa"/>
            <w:shd w:val="clear" w:color="auto" w:fill="E2EFD9" w:themeFill="accent6" w:themeFillTint="33"/>
            <w:vAlign w:val="center"/>
          </w:tcPr>
          <w:p w14:paraId="43CC4B1C" w14:textId="0B4D4340" w:rsidR="001131A6" w:rsidRDefault="001131A6" w:rsidP="001131A6">
            <w:pPr>
              <w:keepNext/>
              <w:keepLines/>
              <w:spacing w:after="0"/>
              <w:jc w:val="center"/>
              <w:rPr>
                <w:rFonts w:cs="Arial"/>
                <w:lang w:val="en-US"/>
              </w:rPr>
            </w:pPr>
            <w:r w:rsidRPr="00C13D72">
              <w:rPr>
                <w:color w:val="000000"/>
                <w:sz w:val="18"/>
                <w:szCs w:val="18"/>
              </w:rPr>
              <w:t>10,5%</w:t>
            </w:r>
          </w:p>
        </w:tc>
        <w:tc>
          <w:tcPr>
            <w:tcW w:w="966" w:type="dxa"/>
            <w:shd w:val="clear" w:color="auto" w:fill="auto"/>
            <w:vAlign w:val="center"/>
          </w:tcPr>
          <w:p w14:paraId="4B9BF9D7" w14:textId="1B4A375E" w:rsidR="001131A6" w:rsidRDefault="001131A6" w:rsidP="001131A6">
            <w:pPr>
              <w:keepNext/>
              <w:keepLines/>
              <w:spacing w:after="0"/>
              <w:jc w:val="center"/>
              <w:rPr>
                <w:rFonts w:cs="Arial"/>
                <w:lang w:val="en-US"/>
              </w:rPr>
            </w:pPr>
            <w:r>
              <w:rPr>
                <w:rFonts w:cs="Arial"/>
                <w:lang w:val="en-US"/>
              </w:rPr>
              <w:t>Low</w:t>
            </w:r>
          </w:p>
        </w:tc>
        <w:tc>
          <w:tcPr>
            <w:tcW w:w="966" w:type="dxa"/>
            <w:shd w:val="clear" w:color="auto" w:fill="auto"/>
            <w:vAlign w:val="center"/>
          </w:tcPr>
          <w:p w14:paraId="0F6A4DB6" w14:textId="093AD4E3" w:rsidR="001131A6" w:rsidRDefault="001131A6" w:rsidP="001131A6">
            <w:pPr>
              <w:keepNext/>
              <w:keepLines/>
              <w:spacing w:after="0"/>
              <w:jc w:val="center"/>
              <w:rPr>
                <w:rFonts w:cs="Arial"/>
                <w:lang w:val="en-US"/>
              </w:rPr>
            </w:pPr>
            <w:r>
              <w:rPr>
                <w:rFonts w:cs="Arial"/>
                <w:lang w:val="en-US"/>
              </w:rPr>
              <w:t>High</w:t>
            </w:r>
          </w:p>
        </w:tc>
      </w:tr>
      <w:tr w:rsidR="001131A6" w14:paraId="0ED9E3AC" w14:textId="77777777" w:rsidTr="003A7264">
        <w:tc>
          <w:tcPr>
            <w:tcW w:w="819" w:type="dxa"/>
            <w:shd w:val="clear" w:color="auto" w:fill="auto"/>
            <w:vAlign w:val="center"/>
          </w:tcPr>
          <w:p w14:paraId="71CE8D4A" w14:textId="2977E192" w:rsidR="001131A6" w:rsidRPr="00EB30F6" w:rsidRDefault="001131A6" w:rsidP="001131A6">
            <w:pPr>
              <w:keepNext/>
              <w:keepLines/>
              <w:spacing w:after="0"/>
              <w:jc w:val="center"/>
              <w:rPr>
                <w:rFonts w:cs="Arial"/>
                <w:b/>
                <w:lang w:val="en-US"/>
              </w:rPr>
            </w:pPr>
            <w:r w:rsidRPr="00EB30F6">
              <w:rPr>
                <w:b/>
                <w:color w:val="000000"/>
                <w:sz w:val="18"/>
                <w:szCs w:val="18"/>
              </w:rPr>
              <w:t>10</w:t>
            </w:r>
          </w:p>
        </w:tc>
        <w:tc>
          <w:tcPr>
            <w:tcW w:w="866" w:type="dxa"/>
            <w:shd w:val="clear" w:color="auto" w:fill="auto"/>
            <w:vAlign w:val="center"/>
          </w:tcPr>
          <w:p w14:paraId="1C0F5209" w14:textId="77156332" w:rsidR="001131A6" w:rsidRPr="00EB30F6" w:rsidRDefault="001131A6" w:rsidP="001131A6">
            <w:pPr>
              <w:keepNext/>
              <w:keepLines/>
              <w:spacing w:after="0"/>
              <w:jc w:val="center"/>
              <w:rPr>
                <w:rFonts w:cs="Arial"/>
                <w:b/>
                <w:lang w:val="en-US"/>
              </w:rPr>
            </w:pPr>
            <w:r w:rsidRPr="00EB30F6">
              <w:rPr>
                <w:b/>
                <w:color w:val="000000"/>
                <w:sz w:val="18"/>
                <w:szCs w:val="18"/>
              </w:rPr>
              <w:t>50</w:t>
            </w:r>
          </w:p>
        </w:tc>
        <w:tc>
          <w:tcPr>
            <w:tcW w:w="683" w:type="dxa"/>
            <w:shd w:val="clear" w:color="auto" w:fill="auto"/>
            <w:vAlign w:val="center"/>
          </w:tcPr>
          <w:p w14:paraId="12CAEA61" w14:textId="0A8B681C" w:rsidR="001131A6" w:rsidRPr="00EB30F6" w:rsidRDefault="001131A6" w:rsidP="001131A6">
            <w:pPr>
              <w:keepNext/>
              <w:keepLines/>
              <w:spacing w:after="0"/>
              <w:jc w:val="center"/>
              <w:rPr>
                <w:rFonts w:cs="Arial"/>
                <w:b/>
                <w:lang w:val="en-US"/>
              </w:rPr>
            </w:pPr>
            <w:r w:rsidRPr="00EB30F6">
              <w:rPr>
                <w:b/>
                <w:color w:val="000000"/>
                <w:sz w:val="18"/>
                <w:szCs w:val="18"/>
              </w:rPr>
              <w:t>3</w:t>
            </w:r>
          </w:p>
        </w:tc>
        <w:tc>
          <w:tcPr>
            <w:tcW w:w="920" w:type="dxa"/>
            <w:shd w:val="clear" w:color="auto" w:fill="auto"/>
            <w:vAlign w:val="center"/>
          </w:tcPr>
          <w:p w14:paraId="0D8E4D2E" w14:textId="21259FDD" w:rsidR="001131A6" w:rsidRPr="00EB30F6" w:rsidRDefault="001131A6" w:rsidP="001131A6">
            <w:pPr>
              <w:keepNext/>
              <w:keepLines/>
              <w:spacing w:after="0"/>
              <w:jc w:val="center"/>
              <w:rPr>
                <w:rFonts w:cs="Arial"/>
                <w:b/>
                <w:lang w:val="en-US"/>
              </w:rPr>
            </w:pPr>
            <w:r w:rsidRPr="00EB30F6">
              <w:rPr>
                <w:b/>
                <w:color w:val="000000"/>
                <w:sz w:val="18"/>
                <w:szCs w:val="18"/>
              </w:rPr>
              <w:t>3</w:t>
            </w:r>
          </w:p>
        </w:tc>
        <w:tc>
          <w:tcPr>
            <w:tcW w:w="923" w:type="dxa"/>
            <w:shd w:val="clear" w:color="auto" w:fill="auto"/>
            <w:vAlign w:val="center"/>
          </w:tcPr>
          <w:p w14:paraId="27338B32" w14:textId="3B72A2C6" w:rsidR="001131A6" w:rsidRPr="00EB30F6" w:rsidRDefault="001131A6" w:rsidP="001131A6">
            <w:pPr>
              <w:keepNext/>
              <w:keepLines/>
              <w:spacing w:after="0"/>
              <w:jc w:val="center"/>
              <w:rPr>
                <w:rFonts w:cs="Arial"/>
                <w:b/>
                <w:lang w:val="en-US"/>
              </w:rPr>
            </w:pPr>
            <w:r w:rsidRPr="00EB30F6">
              <w:rPr>
                <w:b/>
                <w:color w:val="000000"/>
                <w:sz w:val="18"/>
                <w:szCs w:val="18"/>
              </w:rPr>
              <w:t>3</w:t>
            </w:r>
          </w:p>
        </w:tc>
        <w:tc>
          <w:tcPr>
            <w:tcW w:w="920" w:type="dxa"/>
            <w:shd w:val="clear" w:color="auto" w:fill="auto"/>
            <w:vAlign w:val="center"/>
          </w:tcPr>
          <w:p w14:paraId="7F6FBA74" w14:textId="37DB5654" w:rsidR="001131A6" w:rsidRPr="00EB30F6" w:rsidRDefault="001131A6" w:rsidP="001131A6">
            <w:pPr>
              <w:keepNext/>
              <w:keepLines/>
              <w:spacing w:after="0"/>
              <w:jc w:val="center"/>
              <w:rPr>
                <w:rFonts w:cs="Arial"/>
                <w:b/>
                <w:lang w:val="en-US"/>
              </w:rPr>
            </w:pPr>
            <w:r w:rsidRPr="00EB30F6">
              <w:rPr>
                <w:b/>
                <w:color w:val="000000"/>
                <w:sz w:val="18"/>
                <w:szCs w:val="18"/>
              </w:rPr>
              <w:t>3</w:t>
            </w:r>
          </w:p>
        </w:tc>
        <w:tc>
          <w:tcPr>
            <w:tcW w:w="922" w:type="dxa"/>
            <w:shd w:val="clear" w:color="auto" w:fill="auto"/>
            <w:vAlign w:val="center"/>
          </w:tcPr>
          <w:p w14:paraId="7C50E44E" w14:textId="748BAA88" w:rsidR="001131A6" w:rsidRPr="00EB30F6" w:rsidRDefault="001131A6" w:rsidP="001131A6">
            <w:pPr>
              <w:keepNext/>
              <w:keepLines/>
              <w:spacing w:after="0"/>
              <w:jc w:val="center"/>
              <w:rPr>
                <w:rFonts w:cs="Arial"/>
                <w:b/>
                <w:lang w:val="en-US"/>
              </w:rPr>
            </w:pPr>
            <w:r w:rsidRPr="00EB30F6">
              <w:rPr>
                <w:b/>
                <w:color w:val="000000"/>
                <w:sz w:val="18"/>
                <w:szCs w:val="18"/>
              </w:rPr>
              <w:t>3</w:t>
            </w:r>
          </w:p>
        </w:tc>
        <w:tc>
          <w:tcPr>
            <w:tcW w:w="940" w:type="dxa"/>
            <w:shd w:val="clear" w:color="auto" w:fill="E2EFD9" w:themeFill="accent6" w:themeFillTint="33"/>
            <w:vAlign w:val="center"/>
          </w:tcPr>
          <w:p w14:paraId="46538164" w14:textId="2D1A1154" w:rsidR="001131A6" w:rsidRPr="00EB30F6" w:rsidRDefault="001131A6" w:rsidP="001131A6">
            <w:pPr>
              <w:keepNext/>
              <w:keepLines/>
              <w:spacing w:after="0"/>
              <w:jc w:val="center"/>
              <w:rPr>
                <w:rFonts w:cs="Arial"/>
                <w:b/>
                <w:lang w:val="en-US"/>
              </w:rPr>
            </w:pPr>
            <w:r w:rsidRPr="00EB30F6">
              <w:rPr>
                <w:b/>
                <w:color w:val="000000"/>
                <w:sz w:val="18"/>
                <w:szCs w:val="18"/>
              </w:rPr>
              <w:t>6,8%</w:t>
            </w:r>
          </w:p>
        </w:tc>
        <w:tc>
          <w:tcPr>
            <w:tcW w:w="940" w:type="dxa"/>
            <w:shd w:val="clear" w:color="auto" w:fill="E2EFD9" w:themeFill="accent6" w:themeFillTint="33"/>
            <w:vAlign w:val="center"/>
          </w:tcPr>
          <w:p w14:paraId="0C97B951" w14:textId="5C1788F9" w:rsidR="001131A6" w:rsidRPr="00EB30F6" w:rsidRDefault="001131A6" w:rsidP="001131A6">
            <w:pPr>
              <w:keepNext/>
              <w:keepLines/>
              <w:spacing w:after="0"/>
              <w:jc w:val="center"/>
              <w:rPr>
                <w:rFonts w:cs="Arial"/>
                <w:b/>
                <w:lang w:val="en-US"/>
              </w:rPr>
            </w:pPr>
            <w:r w:rsidRPr="00EB30F6">
              <w:rPr>
                <w:b/>
                <w:color w:val="000000"/>
                <w:sz w:val="18"/>
                <w:szCs w:val="18"/>
              </w:rPr>
              <w:t>6,8%</w:t>
            </w:r>
          </w:p>
        </w:tc>
        <w:tc>
          <w:tcPr>
            <w:tcW w:w="966" w:type="dxa"/>
            <w:shd w:val="clear" w:color="auto" w:fill="auto"/>
            <w:vAlign w:val="center"/>
          </w:tcPr>
          <w:p w14:paraId="16A20A24" w14:textId="0ED73557" w:rsidR="001131A6" w:rsidRDefault="001131A6" w:rsidP="001131A6">
            <w:pPr>
              <w:keepNext/>
              <w:keepLines/>
              <w:spacing w:after="0"/>
              <w:jc w:val="center"/>
              <w:rPr>
                <w:rFonts w:cs="Arial"/>
                <w:lang w:val="en-US"/>
              </w:rPr>
            </w:pPr>
            <w:r>
              <w:rPr>
                <w:rFonts w:cs="Arial"/>
                <w:lang w:val="en-US"/>
              </w:rPr>
              <w:t>Low</w:t>
            </w:r>
          </w:p>
        </w:tc>
        <w:tc>
          <w:tcPr>
            <w:tcW w:w="966" w:type="dxa"/>
            <w:shd w:val="clear" w:color="auto" w:fill="auto"/>
            <w:vAlign w:val="center"/>
          </w:tcPr>
          <w:p w14:paraId="33ACFFB0" w14:textId="7126118F" w:rsidR="001131A6" w:rsidRDefault="001131A6" w:rsidP="001131A6">
            <w:pPr>
              <w:keepNext/>
              <w:keepLines/>
              <w:spacing w:after="0"/>
              <w:jc w:val="center"/>
              <w:rPr>
                <w:rFonts w:cs="Arial"/>
                <w:lang w:val="en-US"/>
              </w:rPr>
            </w:pPr>
            <w:r>
              <w:rPr>
                <w:rFonts w:cs="Arial"/>
                <w:lang w:val="en-US"/>
              </w:rPr>
              <w:t>High</w:t>
            </w:r>
          </w:p>
        </w:tc>
      </w:tr>
      <w:tr w:rsidR="001131A6" w14:paraId="6F58D01D" w14:textId="77777777" w:rsidTr="003A7264">
        <w:trPr>
          <w:trHeight w:val="70"/>
        </w:trPr>
        <w:tc>
          <w:tcPr>
            <w:tcW w:w="819" w:type="dxa"/>
            <w:shd w:val="clear" w:color="auto" w:fill="auto"/>
            <w:vAlign w:val="center"/>
          </w:tcPr>
          <w:p w14:paraId="58000411" w14:textId="169FC611" w:rsidR="001131A6" w:rsidRDefault="001131A6" w:rsidP="00E57269">
            <w:pPr>
              <w:keepNext/>
              <w:keepLines/>
              <w:spacing w:after="0"/>
              <w:jc w:val="center"/>
              <w:rPr>
                <w:rFonts w:cs="Arial"/>
                <w:lang w:val="en-US"/>
              </w:rPr>
            </w:pPr>
            <w:r w:rsidRPr="00C13D72">
              <w:rPr>
                <w:color w:val="000000"/>
                <w:sz w:val="18"/>
                <w:szCs w:val="18"/>
              </w:rPr>
              <w:t>15</w:t>
            </w:r>
          </w:p>
        </w:tc>
        <w:tc>
          <w:tcPr>
            <w:tcW w:w="866" w:type="dxa"/>
            <w:shd w:val="clear" w:color="auto" w:fill="auto"/>
            <w:vAlign w:val="center"/>
          </w:tcPr>
          <w:p w14:paraId="13A8DE10" w14:textId="0A7E2F3B" w:rsidR="001131A6" w:rsidRDefault="001131A6" w:rsidP="00E57269">
            <w:pPr>
              <w:keepNext/>
              <w:keepLines/>
              <w:spacing w:after="0"/>
              <w:jc w:val="center"/>
              <w:rPr>
                <w:rFonts w:cs="Arial"/>
                <w:lang w:val="en-US"/>
              </w:rPr>
            </w:pPr>
            <w:r w:rsidRPr="00C13D72">
              <w:rPr>
                <w:color w:val="000000"/>
                <w:sz w:val="18"/>
                <w:szCs w:val="18"/>
              </w:rPr>
              <w:t>75</w:t>
            </w:r>
          </w:p>
        </w:tc>
        <w:tc>
          <w:tcPr>
            <w:tcW w:w="683" w:type="dxa"/>
            <w:shd w:val="clear" w:color="auto" w:fill="auto"/>
            <w:vAlign w:val="center"/>
          </w:tcPr>
          <w:p w14:paraId="505BD624" w14:textId="25E68EA0" w:rsidR="001131A6" w:rsidRDefault="001131A6" w:rsidP="00E57269">
            <w:pPr>
              <w:keepNext/>
              <w:keepLines/>
              <w:spacing w:after="0"/>
              <w:jc w:val="center"/>
              <w:rPr>
                <w:rFonts w:cs="Arial"/>
                <w:lang w:val="en-US"/>
              </w:rPr>
            </w:pPr>
            <w:r w:rsidRPr="00C13D72">
              <w:rPr>
                <w:color w:val="000000"/>
                <w:sz w:val="18"/>
                <w:szCs w:val="18"/>
              </w:rPr>
              <w:t>4</w:t>
            </w:r>
          </w:p>
        </w:tc>
        <w:tc>
          <w:tcPr>
            <w:tcW w:w="920" w:type="dxa"/>
            <w:shd w:val="clear" w:color="auto" w:fill="auto"/>
            <w:vAlign w:val="center"/>
          </w:tcPr>
          <w:p w14:paraId="6E33041C" w14:textId="18FA5FB4" w:rsidR="001131A6" w:rsidRDefault="001131A6" w:rsidP="00E57269">
            <w:pPr>
              <w:keepNext/>
              <w:keepLines/>
              <w:spacing w:after="0"/>
              <w:jc w:val="center"/>
              <w:rPr>
                <w:rFonts w:cs="Arial"/>
                <w:lang w:val="en-US"/>
              </w:rPr>
            </w:pPr>
            <w:r w:rsidRPr="00C13D72">
              <w:rPr>
                <w:color w:val="000000"/>
                <w:sz w:val="18"/>
                <w:szCs w:val="18"/>
              </w:rPr>
              <w:t>2</w:t>
            </w:r>
          </w:p>
        </w:tc>
        <w:tc>
          <w:tcPr>
            <w:tcW w:w="923" w:type="dxa"/>
            <w:shd w:val="clear" w:color="auto" w:fill="auto"/>
            <w:vAlign w:val="center"/>
          </w:tcPr>
          <w:p w14:paraId="363188A1" w14:textId="58362C1E" w:rsidR="001131A6" w:rsidRDefault="001131A6" w:rsidP="00E57269">
            <w:pPr>
              <w:keepNext/>
              <w:keepLines/>
              <w:spacing w:after="0"/>
              <w:jc w:val="center"/>
              <w:rPr>
                <w:rFonts w:cs="Arial"/>
                <w:lang w:val="en-US"/>
              </w:rPr>
            </w:pPr>
            <w:r w:rsidRPr="00C13D72">
              <w:rPr>
                <w:color w:val="000000"/>
                <w:sz w:val="18"/>
                <w:szCs w:val="18"/>
              </w:rPr>
              <w:t>3</w:t>
            </w:r>
          </w:p>
        </w:tc>
        <w:tc>
          <w:tcPr>
            <w:tcW w:w="920" w:type="dxa"/>
            <w:shd w:val="clear" w:color="auto" w:fill="auto"/>
            <w:vAlign w:val="center"/>
          </w:tcPr>
          <w:p w14:paraId="2553560B" w14:textId="31476FCA" w:rsidR="001131A6" w:rsidRDefault="001131A6" w:rsidP="00E57269">
            <w:pPr>
              <w:keepNext/>
              <w:keepLines/>
              <w:spacing w:after="0"/>
              <w:jc w:val="center"/>
              <w:rPr>
                <w:rFonts w:cs="Arial"/>
                <w:lang w:val="en-US"/>
              </w:rPr>
            </w:pPr>
            <w:r w:rsidRPr="00C13D72">
              <w:rPr>
                <w:color w:val="000000"/>
                <w:sz w:val="18"/>
                <w:szCs w:val="18"/>
              </w:rPr>
              <w:t>2</w:t>
            </w:r>
          </w:p>
        </w:tc>
        <w:tc>
          <w:tcPr>
            <w:tcW w:w="922" w:type="dxa"/>
            <w:shd w:val="clear" w:color="auto" w:fill="auto"/>
            <w:vAlign w:val="center"/>
          </w:tcPr>
          <w:p w14:paraId="09189767" w14:textId="1C9859A6" w:rsidR="001131A6" w:rsidRDefault="001131A6" w:rsidP="00E57269">
            <w:pPr>
              <w:keepNext/>
              <w:keepLines/>
              <w:spacing w:after="0"/>
              <w:jc w:val="center"/>
              <w:rPr>
                <w:rFonts w:cs="Arial"/>
                <w:lang w:val="en-US"/>
              </w:rPr>
            </w:pPr>
            <w:r w:rsidRPr="00C13D72">
              <w:rPr>
                <w:color w:val="000000"/>
                <w:sz w:val="18"/>
                <w:szCs w:val="18"/>
              </w:rPr>
              <w:t>6</w:t>
            </w:r>
          </w:p>
        </w:tc>
        <w:tc>
          <w:tcPr>
            <w:tcW w:w="940" w:type="dxa"/>
            <w:shd w:val="clear" w:color="auto" w:fill="E2EFD9" w:themeFill="accent6" w:themeFillTint="33"/>
            <w:vAlign w:val="center"/>
          </w:tcPr>
          <w:p w14:paraId="0F74EEC3" w14:textId="1BB3F0CD" w:rsidR="001131A6" w:rsidRDefault="001131A6" w:rsidP="00E57269">
            <w:pPr>
              <w:keepNext/>
              <w:keepLines/>
              <w:spacing w:after="0"/>
              <w:jc w:val="center"/>
              <w:rPr>
                <w:rFonts w:cs="Arial"/>
                <w:lang w:val="en-US"/>
              </w:rPr>
            </w:pPr>
            <w:r w:rsidRPr="00C13D72">
              <w:rPr>
                <w:color w:val="000000"/>
                <w:sz w:val="18"/>
                <w:szCs w:val="18"/>
              </w:rPr>
              <w:t>2,9%</w:t>
            </w:r>
          </w:p>
        </w:tc>
        <w:tc>
          <w:tcPr>
            <w:tcW w:w="940" w:type="dxa"/>
            <w:shd w:val="clear" w:color="auto" w:fill="E2EFD9" w:themeFill="accent6" w:themeFillTint="33"/>
            <w:vAlign w:val="center"/>
          </w:tcPr>
          <w:p w14:paraId="13F865FD" w14:textId="6129A47D" w:rsidR="001131A6" w:rsidRDefault="001131A6" w:rsidP="00E57269">
            <w:pPr>
              <w:keepNext/>
              <w:keepLines/>
              <w:spacing w:after="0"/>
              <w:jc w:val="center"/>
              <w:rPr>
                <w:rFonts w:cs="Arial"/>
                <w:lang w:val="en-US"/>
              </w:rPr>
            </w:pPr>
            <w:r w:rsidRPr="00C13D72">
              <w:rPr>
                <w:color w:val="000000"/>
                <w:sz w:val="18"/>
                <w:szCs w:val="18"/>
              </w:rPr>
              <w:t>8,7%</w:t>
            </w:r>
          </w:p>
        </w:tc>
        <w:tc>
          <w:tcPr>
            <w:tcW w:w="966" w:type="dxa"/>
            <w:shd w:val="clear" w:color="auto" w:fill="auto"/>
            <w:vAlign w:val="center"/>
          </w:tcPr>
          <w:p w14:paraId="2647CDB7" w14:textId="3DD5F6E3" w:rsidR="001131A6" w:rsidRDefault="001131A6" w:rsidP="00E57269">
            <w:pPr>
              <w:keepNext/>
              <w:keepLines/>
              <w:spacing w:after="0"/>
              <w:jc w:val="center"/>
              <w:rPr>
                <w:rFonts w:cs="Arial"/>
                <w:lang w:val="en-US"/>
              </w:rPr>
            </w:pPr>
            <w:r w:rsidRPr="00C13D72">
              <w:rPr>
                <w:color w:val="000000"/>
                <w:sz w:val="18"/>
                <w:szCs w:val="18"/>
              </w:rPr>
              <w:t xml:space="preserve">Even </w:t>
            </w:r>
          </w:p>
        </w:tc>
        <w:tc>
          <w:tcPr>
            <w:tcW w:w="966" w:type="dxa"/>
            <w:shd w:val="clear" w:color="auto" w:fill="auto"/>
            <w:vAlign w:val="center"/>
          </w:tcPr>
          <w:p w14:paraId="3B6D68C3" w14:textId="549501A9" w:rsidR="001131A6" w:rsidRDefault="001131A6" w:rsidP="00E57269">
            <w:pPr>
              <w:keepNext/>
              <w:keepLines/>
              <w:spacing w:after="0"/>
              <w:jc w:val="center"/>
              <w:rPr>
                <w:rFonts w:cs="Arial"/>
                <w:lang w:val="en-US"/>
              </w:rPr>
            </w:pPr>
            <w:r>
              <w:rPr>
                <w:rFonts w:cs="Arial"/>
                <w:lang w:val="en-US"/>
              </w:rPr>
              <w:t>Odd</w:t>
            </w:r>
          </w:p>
        </w:tc>
      </w:tr>
      <w:tr w:rsidR="001131A6" w14:paraId="4974A1F9" w14:textId="77777777" w:rsidTr="003A7264">
        <w:tc>
          <w:tcPr>
            <w:tcW w:w="819" w:type="dxa"/>
            <w:shd w:val="clear" w:color="auto" w:fill="auto"/>
            <w:vAlign w:val="center"/>
          </w:tcPr>
          <w:p w14:paraId="3D34C91E" w14:textId="0C4A8D35" w:rsidR="001131A6" w:rsidRDefault="001131A6" w:rsidP="001131A6">
            <w:pPr>
              <w:keepNext/>
              <w:keepLines/>
              <w:spacing w:after="0"/>
              <w:jc w:val="center"/>
              <w:rPr>
                <w:rFonts w:cs="Arial"/>
                <w:lang w:val="en-US"/>
              </w:rPr>
            </w:pPr>
            <w:r w:rsidRPr="00C13D72">
              <w:rPr>
                <w:color w:val="000000"/>
                <w:sz w:val="18"/>
                <w:szCs w:val="18"/>
              </w:rPr>
              <w:t>20</w:t>
            </w:r>
          </w:p>
        </w:tc>
        <w:tc>
          <w:tcPr>
            <w:tcW w:w="866" w:type="dxa"/>
            <w:shd w:val="clear" w:color="auto" w:fill="auto"/>
            <w:vAlign w:val="center"/>
          </w:tcPr>
          <w:p w14:paraId="2D1462FC" w14:textId="2317D677" w:rsidR="001131A6" w:rsidRDefault="001131A6" w:rsidP="001131A6">
            <w:pPr>
              <w:keepNext/>
              <w:keepLines/>
              <w:spacing w:after="0"/>
              <w:jc w:val="center"/>
              <w:rPr>
                <w:rFonts w:cs="Arial"/>
                <w:lang w:val="en-US"/>
              </w:rPr>
            </w:pPr>
            <w:r w:rsidRPr="00C13D72">
              <w:rPr>
                <w:color w:val="000000"/>
                <w:sz w:val="18"/>
                <w:szCs w:val="18"/>
              </w:rPr>
              <w:t>100</w:t>
            </w:r>
          </w:p>
        </w:tc>
        <w:tc>
          <w:tcPr>
            <w:tcW w:w="683" w:type="dxa"/>
            <w:shd w:val="clear" w:color="auto" w:fill="auto"/>
            <w:vAlign w:val="center"/>
          </w:tcPr>
          <w:p w14:paraId="02262449" w14:textId="648B4D26" w:rsidR="001131A6" w:rsidRDefault="001131A6" w:rsidP="001131A6">
            <w:pPr>
              <w:keepNext/>
              <w:keepLines/>
              <w:spacing w:after="0"/>
              <w:jc w:val="center"/>
              <w:rPr>
                <w:rFonts w:cs="Arial"/>
                <w:lang w:val="en-US"/>
              </w:rPr>
            </w:pPr>
            <w:r w:rsidRPr="00C13D72">
              <w:rPr>
                <w:color w:val="000000"/>
                <w:sz w:val="18"/>
                <w:szCs w:val="18"/>
              </w:rPr>
              <w:t>4</w:t>
            </w:r>
          </w:p>
        </w:tc>
        <w:tc>
          <w:tcPr>
            <w:tcW w:w="920" w:type="dxa"/>
            <w:shd w:val="clear" w:color="auto" w:fill="auto"/>
            <w:vAlign w:val="center"/>
          </w:tcPr>
          <w:p w14:paraId="0C4AA39E" w14:textId="4F1B944E" w:rsidR="001131A6" w:rsidRDefault="001131A6" w:rsidP="001131A6">
            <w:pPr>
              <w:keepNext/>
              <w:keepLines/>
              <w:spacing w:after="0"/>
              <w:jc w:val="center"/>
              <w:rPr>
                <w:rFonts w:cs="Arial"/>
                <w:lang w:val="en-US"/>
              </w:rPr>
            </w:pPr>
            <w:r w:rsidRPr="00C13D72">
              <w:rPr>
                <w:color w:val="000000"/>
                <w:sz w:val="18"/>
                <w:szCs w:val="18"/>
              </w:rPr>
              <w:t>2</w:t>
            </w:r>
          </w:p>
        </w:tc>
        <w:tc>
          <w:tcPr>
            <w:tcW w:w="923" w:type="dxa"/>
            <w:shd w:val="clear" w:color="auto" w:fill="auto"/>
            <w:vAlign w:val="center"/>
          </w:tcPr>
          <w:p w14:paraId="2673A67D" w14:textId="70154495" w:rsidR="001131A6" w:rsidRDefault="001131A6" w:rsidP="001131A6">
            <w:pPr>
              <w:keepNext/>
              <w:keepLines/>
              <w:spacing w:after="0"/>
              <w:jc w:val="center"/>
              <w:rPr>
                <w:rFonts w:cs="Arial"/>
                <w:lang w:val="en-US"/>
              </w:rPr>
            </w:pPr>
            <w:r w:rsidRPr="00C13D72">
              <w:rPr>
                <w:color w:val="000000"/>
                <w:sz w:val="18"/>
                <w:szCs w:val="18"/>
              </w:rPr>
              <w:t>2</w:t>
            </w:r>
          </w:p>
        </w:tc>
        <w:tc>
          <w:tcPr>
            <w:tcW w:w="920" w:type="dxa"/>
            <w:shd w:val="clear" w:color="auto" w:fill="auto"/>
            <w:vAlign w:val="center"/>
          </w:tcPr>
          <w:p w14:paraId="3DC6DBD3" w14:textId="7AF4F692" w:rsidR="001131A6" w:rsidRDefault="001131A6" w:rsidP="001131A6">
            <w:pPr>
              <w:keepNext/>
              <w:keepLines/>
              <w:spacing w:after="0"/>
              <w:jc w:val="center"/>
              <w:rPr>
                <w:rFonts w:cs="Arial"/>
                <w:lang w:val="en-US"/>
              </w:rPr>
            </w:pPr>
            <w:r w:rsidRPr="00C13D72">
              <w:rPr>
                <w:color w:val="000000"/>
                <w:sz w:val="18"/>
                <w:szCs w:val="18"/>
              </w:rPr>
              <w:t>2</w:t>
            </w:r>
          </w:p>
        </w:tc>
        <w:tc>
          <w:tcPr>
            <w:tcW w:w="922" w:type="dxa"/>
            <w:shd w:val="clear" w:color="auto" w:fill="auto"/>
            <w:vAlign w:val="center"/>
          </w:tcPr>
          <w:p w14:paraId="10EBF0C1" w14:textId="22A4355A" w:rsidR="001131A6" w:rsidRDefault="001131A6" w:rsidP="001131A6">
            <w:pPr>
              <w:keepNext/>
              <w:keepLines/>
              <w:spacing w:after="0"/>
              <w:jc w:val="center"/>
              <w:rPr>
                <w:rFonts w:cs="Arial"/>
                <w:lang w:val="en-US"/>
              </w:rPr>
            </w:pPr>
            <w:r w:rsidRPr="00C13D72">
              <w:rPr>
                <w:color w:val="000000"/>
                <w:sz w:val="18"/>
                <w:szCs w:val="18"/>
              </w:rPr>
              <w:t>2</w:t>
            </w:r>
          </w:p>
        </w:tc>
        <w:tc>
          <w:tcPr>
            <w:tcW w:w="940" w:type="dxa"/>
            <w:shd w:val="clear" w:color="auto" w:fill="E2EFD9" w:themeFill="accent6" w:themeFillTint="33"/>
            <w:vAlign w:val="center"/>
          </w:tcPr>
          <w:p w14:paraId="467FD5A8" w14:textId="109F9058" w:rsidR="001131A6" w:rsidRDefault="001131A6" w:rsidP="001131A6">
            <w:pPr>
              <w:keepNext/>
              <w:keepLines/>
              <w:spacing w:after="0"/>
              <w:jc w:val="center"/>
              <w:rPr>
                <w:rFonts w:cs="Arial"/>
                <w:lang w:val="en-US"/>
              </w:rPr>
            </w:pPr>
            <w:r w:rsidRPr="00C13D72">
              <w:rPr>
                <w:color w:val="000000"/>
                <w:sz w:val="18"/>
                <w:szCs w:val="18"/>
              </w:rPr>
              <w:t>2,1%</w:t>
            </w:r>
          </w:p>
        </w:tc>
        <w:tc>
          <w:tcPr>
            <w:tcW w:w="940" w:type="dxa"/>
            <w:shd w:val="clear" w:color="auto" w:fill="E2EFD9" w:themeFill="accent6" w:themeFillTint="33"/>
            <w:vAlign w:val="center"/>
          </w:tcPr>
          <w:p w14:paraId="31347B0E" w14:textId="547140DB" w:rsidR="001131A6" w:rsidRDefault="001131A6" w:rsidP="001131A6">
            <w:pPr>
              <w:keepNext/>
              <w:keepLines/>
              <w:spacing w:after="0"/>
              <w:jc w:val="center"/>
              <w:rPr>
                <w:rFonts w:cs="Arial"/>
                <w:lang w:val="en-US"/>
              </w:rPr>
            </w:pPr>
            <w:r w:rsidRPr="00C13D72">
              <w:rPr>
                <w:color w:val="000000"/>
                <w:sz w:val="18"/>
                <w:szCs w:val="18"/>
              </w:rPr>
              <w:t>2,1%</w:t>
            </w:r>
          </w:p>
        </w:tc>
        <w:tc>
          <w:tcPr>
            <w:tcW w:w="966" w:type="dxa"/>
            <w:shd w:val="clear" w:color="auto" w:fill="auto"/>
            <w:vAlign w:val="center"/>
          </w:tcPr>
          <w:p w14:paraId="142403BB" w14:textId="4BB48896" w:rsidR="001131A6" w:rsidRDefault="001131A6" w:rsidP="001131A6">
            <w:pPr>
              <w:keepNext/>
              <w:keepLines/>
              <w:spacing w:after="0"/>
              <w:jc w:val="center"/>
              <w:rPr>
                <w:rFonts w:cs="Arial"/>
                <w:lang w:val="en-US"/>
              </w:rPr>
            </w:pPr>
            <w:r>
              <w:rPr>
                <w:rFonts w:cs="Arial"/>
                <w:lang w:val="en-US"/>
              </w:rPr>
              <w:t>Low</w:t>
            </w:r>
          </w:p>
        </w:tc>
        <w:tc>
          <w:tcPr>
            <w:tcW w:w="966" w:type="dxa"/>
            <w:shd w:val="clear" w:color="auto" w:fill="auto"/>
            <w:vAlign w:val="center"/>
          </w:tcPr>
          <w:p w14:paraId="45618693" w14:textId="67E8D102" w:rsidR="001131A6" w:rsidRDefault="001131A6" w:rsidP="001131A6">
            <w:pPr>
              <w:keepNext/>
              <w:keepLines/>
              <w:spacing w:after="0"/>
              <w:jc w:val="center"/>
              <w:rPr>
                <w:rFonts w:cs="Arial"/>
                <w:lang w:val="en-US"/>
              </w:rPr>
            </w:pPr>
            <w:r>
              <w:rPr>
                <w:rFonts w:cs="Arial"/>
                <w:lang w:val="en-US"/>
              </w:rPr>
              <w:t>High</w:t>
            </w:r>
          </w:p>
        </w:tc>
      </w:tr>
    </w:tbl>
    <w:p w14:paraId="134BBBD0" w14:textId="77777777" w:rsidR="00E57269" w:rsidRDefault="00E57269" w:rsidP="00E57269">
      <w:pPr>
        <w:rPr>
          <w:rFonts w:cs="Arial"/>
          <w:lang w:val="en-US"/>
        </w:rPr>
      </w:pPr>
    </w:p>
    <w:p w14:paraId="3F12E868" w14:textId="2936C052" w:rsidR="00EB30F6" w:rsidRDefault="00EB30F6" w:rsidP="00EB30F6">
      <w:pPr>
        <w:rPr>
          <w:rFonts w:cs="Arial"/>
          <w:lang w:val="en-US"/>
        </w:rPr>
      </w:pPr>
      <w:r>
        <w:rPr>
          <w:rFonts w:cs="Arial"/>
          <w:lang w:val="en-US"/>
        </w:rPr>
        <w:t xml:space="preserve"> </w:t>
      </w:r>
    </w:p>
    <w:p w14:paraId="2C531CD0" w14:textId="6BD2A089" w:rsidR="00665F35" w:rsidRDefault="00C27885" w:rsidP="00665F35">
      <w:pPr>
        <w:pStyle w:val="Observation"/>
      </w:pPr>
      <w:bookmarkStart w:id="7" w:name="_Toc347823812"/>
      <w:bookmarkStart w:id="8" w:name="_Toc347823993"/>
      <w:bookmarkStart w:id="9" w:name="_Toc347824244"/>
      <w:bookmarkStart w:id="10" w:name="_Toc481672896"/>
      <w:bookmarkStart w:id="11" w:name="_Toc481696648"/>
      <w:bookmarkStart w:id="12" w:name="_Toc481697036"/>
      <w:bookmarkStart w:id="13" w:name="_Toc481758807"/>
      <w:bookmarkStart w:id="14" w:name="_Toc481759197"/>
      <w:bookmarkStart w:id="15" w:name="_Toc481761655"/>
      <w:bookmarkStart w:id="16" w:name="_Toc481765714"/>
      <w:bookmarkStart w:id="17" w:name="_Toc481765771"/>
      <w:bookmarkStart w:id="18" w:name="_Toc481766044"/>
      <w:bookmarkStart w:id="19" w:name="_Toc481766053"/>
      <w:bookmarkStart w:id="20" w:name="_Toc490153039"/>
      <w:bookmarkStart w:id="21" w:name="_Toc490153104"/>
      <w:bookmarkStart w:id="22" w:name="_Toc490228956"/>
      <w:bookmarkStart w:id="23" w:name="_Toc490229025"/>
      <w:r>
        <w:rPr>
          <w:lang w:val="en-US"/>
        </w:rPr>
        <w:t xml:space="preserve">For the scenario of scheduling </w:t>
      </w:r>
      <w:r w:rsidR="00D73284">
        <w:rPr>
          <w:lang w:val="en-US"/>
        </w:rPr>
        <w:t xml:space="preserve">PDSCH for </w:t>
      </w:r>
      <w:r>
        <w:rPr>
          <w:lang w:val="en-US"/>
        </w:rPr>
        <w:t xml:space="preserve">a single LTE user </w:t>
      </w:r>
      <w:r w:rsidR="00665F35">
        <w:rPr>
          <w:lang w:val="en-US"/>
        </w:rPr>
        <w:t>in conjunction</w:t>
      </w:r>
      <w:r>
        <w:rPr>
          <w:lang w:val="en-US"/>
        </w:rPr>
        <w:t xml:space="preserve"> to full utilization of one </w:t>
      </w:r>
      <w:r w:rsidR="00FB0457">
        <w:rPr>
          <w:lang w:val="en-US"/>
        </w:rPr>
        <w:t>BL/CE</w:t>
      </w:r>
      <w:r>
        <w:rPr>
          <w:lang w:val="en-US"/>
        </w:rPr>
        <w:t xml:space="preserve"> narrowband</w:t>
      </w:r>
      <w:r>
        <w:t>, t</w:t>
      </w:r>
      <w:r w:rsidR="00D07599">
        <w:t xml:space="preserve">he misalignment between the </w:t>
      </w:r>
      <w:r w:rsidR="00FB0457">
        <w:t>BL/CE</w:t>
      </w:r>
      <w:r w:rsidR="00D07599">
        <w:t xml:space="preserve"> narrowband and the LTE resource block groups introduces </w:t>
      </w:r>
      <w:r>
        <w:t>a degradation of 0 to 10% of the PRB resource utilization</w:t>
      </w:r>
      <w:r w:rsidR="00665F35">
        <w:t>,</w:t>
      </w:r>
      <w:r>
        <w:t xml:space="preserve"> depending on the system bandwidth and which narrowband is used</w:t>
      </w:r>
      <w:r w:rsidR="00EC7E25">
        <w:t xml:space="preserve"> for the </w:t>
      </w:r>
      <w:r w:rsidR="00FB0457">
        <w:t>BL/CE</w:t>
      </w:r>
      <w:r w:rsidR="00EC7E25">
        <w:t xml:space="preserve"> users</w:t>
      </w:r>
      <w:r>
        <w:t>.</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43A6E83" w14:textId="045A0244" w:rsidR="00EC7E25" w:rsidRPr="00665F35" w:rsidRDefault="00665F35" w:rsidP="00665F35">
      <w:pPr>
        <w:pStyle w:val="Observation"/>
      </w:pPr>
      <w:bookmarkStart w:id="24" w:name="_Toc481765715"/>
      <w:bookmarkStart w:id="25" w:name="_Toc481765772"/>
      <w:bookmarkStart w:id="26" w:name="_Toc481766045"/>
      <w:bookmarkStart w:id="27" w:name="_Toc481766054"/>
      <w:bookmarkStart w:id="28" w:name="_Toc490153040"/>
      <w:bookmarkStart w:id="29" w:name="_Toc490153105"/>
      <w:bookmarkStart w:id="30" w:name="_Toc490228957"/>
      <w:bookmarkStart w:id="31" w:name="_Toc490229026"/>
      <w:bookmarkStart w:id="32" w:name="_Toc481696649"/>
      <w:bookmarkStart w:id="33" w:name="_Toc481697037"/>
      <w:bookmarkStart w:id="34" w:name="_Toc481758808"/>
      <w:bookmarkStart w:id="35" w:name="_Toc481759198"/>
      <w:bookmarkStart w:id="36" w:name="_Toc481761656"/>
      <w:r>
        <w:t>With a</w:t>
      </w:r>
      <w:r w:rsidRPr="00665F35">
        <w:t xml:space="preserve"> </w:t>
      </w:r>
      <w:r w:rsidR="00E22130" w:rsidRPr="00665F35">
        <w:t xml:space="preserve">more flexible allocation of the </w:t>
      </w:r>
      <w:r w:rsidRPr="00665F35">
        <w:t xml:space="preserve">downlink </w:t>
      </w:r>
      <w:r>
        <w:t xml:space="preserve">PRBs for the </w:t>
      </w:r>
      <w:r w:rsidR="00FB0457">
        <w:t>BL/CE</w:t>
      </w:r>
      <w:r>
        <w:t xml:space="preserve"> users this degradation may be avoided.</w:t>
      </w:r>
      <w:bookmarkEnd w:id="24"/>
      <w:bookmarkEnd w:id="25"/>
      <w:bookmarkEnd w:id="26"/>
      <w:bookmarkEnd w:id="27"/>
      <w:bookmarkEnd w:id="28"/>
      <w:bookmarkEnd w:id="29"/>
      <w:bookmarkEnd w:id="30"/>
      <w:bookmarkEnd w:id="31"/>
      <w:r w:rsidR="00E22130" w:rsidRPr="00665F35">
        <w:t xml:space="preserve"> </w:t>
      </w:r>
      <w:r w:rsidR="00EC7E25" w:rsidRPr="00665F35">
        <w:t xml:space="preserve"> </w:t>
      </w:r>
      <w:bookmarkEnd w:id="32"/>
      <w:bookmarkEnd w:id="33"/>
      <w:bookmarkEnd w:id="34"/>
      <w:bookmarkEnd w:id="35"/>
      <w:bookmarkEnd w:id="36"/>
    </w:p>
    <w:p w14:paraId="188EE17F" w14:textId="085B2362" w:rsidR="00EC7E25" w:rsidRPr="00EC7E25" w:rsidRDefault="000A09E9" w:rsidP="000A09E9">
      <w:r>
        <w:t xml:space="preserve">For the uplink scheduling, the higher category UE requires </w:t>
      </w:r>
      <w:r w:rsidR="00C11283">
        <w:t>consecutive</w:t>
      </w:r>
      <w:r>
        <w:t xml:space="preserve"> allocation of the </w:t>
      </w:r>
      <w:r w:rsidR="004E293B">
        <w:t xml:space="preserve">PRBs and scheduling Cat-M users within narrowbands may cause unnecessary fragmentation of the spectrum. </w:t>
      </w:r>
    </w:p>
    <w:p w14:paraId="604A3C75" w14:textId="542E47BA" w:rsidR="0028543E" w:rsidRDefault="004E293B" w:rsidP="004E293B">
      <w:pPr>
        <w:pStyle w:val="Observation"/>
      </w:pPr>
      <w:bookmarkStart w:id="37" w:name="_Toc481696650"/>
      <w:bookmarkStart w:id="38" w:name="_Toc481697038"/>
      <w:bookmarkStart w:id="39" w:name="_Toc481758809"/>
      <w:bookmarkStart w:id="40" w:name="_Toc481759199"/>
      <w:bookmarkStart w:id="41" w:name="_Toc481761657"/>
      <w:bookmarkStart w:id="42" w:name="_Toc481765716"/>
      <w:bookmarkStart w:id="43" w:name="_Toc481765773"/>
      <w:bookmarkStart w:id="44" w:name="_Toc481766046"/>
      <w:bookmarkStart w:id="45" w:name="_Toc481766055"/>
      <w:bookmarkStart w:id="46" w:name="_Toc490153041"/>
      <w:bookmarkStart w:id="47" w:name="_Toc490153106"/>
      <w:bookmarkStart w:id="48" w:name="_Toc490228958"/>
      <w:bookmarkStart w:id="49" w:name="_Toc490229027"/>
      <w:r>
        <w:t>If a more flexible allocation is introduced for the PDSCH transmission of Cat-M UEs, a more flexible allocation may also be considered for the PUSCH transmission.</w:t>
      </w:r>
      <w:bookmarkEnd w:id="37"/>
      <w:bookmarkEnd w:id="38"/>
      <w:bookmarkEnd w:id="39"/>
      <w:bookmarkEnd w:id="40"/>
      <w:bookmarkEnd w:id="41"/>
      <w:bookmarkEnd w:id="42"/>
      <w:bookmarkEnd w:id="43"/>
      <w:bookmarkEnd w:id="44"/>
      <w:bookmarkEnd w:id="45"/>
      <w:bookmarkEnd w:id="46"/>
      <w:bookmarkEnd w:id="47"/>
      <w:bookmarkEnd w:id="48"/>
      <w:bookmarkEnd w:id="49"/>
    </w:p>
    <w:p w14:paraId="0E829C8A" w14:textId="2201DCC2" w:rsidR="004E293B" w:rsidRPr="00287556" w:rsidRDefault="004E293B" w:rsidP="004E293B">
      <w:r>
        <w:t xml:space="preserve">Due to the impact of the MPDCCH search space it is considered that the MPDCCH still should be confined to the current </w:t>
      </w:r>
      <w:r w:rsidRPr="00287556">
        <w:t>narrowbands.</w:t>
      </w:r>
    </w:p>
    <w:p w14:paraId="3C7ECC7A" w14:textId="1C75AA1F" w:rsidR="00D73284" w:rsidRPr="00287556" w:rsidRDefault="00D73284" w:rsidP="00D73284">
      <w:pPr>
        <w:pStyle w:val="Observation"/>
      </w:pPr>
      <w:bookmarkStart w:id="50" w:name="_Toc481697039"/>
      <w:bookmarkStart w:id="51" w:name="_Toc481758810"/>
      <w:bookmarkStart w:id="52" w:name="_Toc481759200"/>
      <w:bookmarkStart w:id="53" w:name="_Toc481761658"/>
      <w:bookmarkStart w:id="54" w:name="_Toc481765717"/>
      <w:bookmarkStart w:id="55" w:name="_Toc481765774"/>
      <w:bookmarkStart w:id="56" w:name="_Toc481766047"/>
      <w:bookmarkStart w:id="57" w:name="_Toc481766056"/>
      <w:bookmarkStart w:id="58" w:name="_Toc490153042"/>
      <w:bookmarkStart w:id="59" w:name="_Toc490153107"/>
      <w:bookmarkStart w:id="60" w:name="_Toc490228959"/>
      <w:bookmarkStart w:id="61" w:name="_Toc490229028"/>
      <w:r w:rsidRPr="00287556">
        <w:t xml:space="preserve">The </w:t>
      </w:r>
      <w:r w:rsidR="00E00C20" w:rsidRPr="00287556">
        <w:t xml:space="preserve">more </w:t>
      </w:r>
      <w:r w:rsidR="00A038F0" w:rsidRPr="00287556">
        <w:t>flexible</w:t>
      </w:r>
      <w:r w:rsidR="00E00C20" w:rsidRPr="00287556">
        <w:t xml:space="preserve"> </w:t>
      </w:r>
      <w:r w:rsidR="00A038F0" w:rsidRPr="00287556">
        <w:t>resource</w:t>
      </w:r>
      <w:r w:rsidR="00E00C20" w:rsidRPr="00287556">
        <w:t xml:space="preserve"> allocation only applies to PDSCH and PUSCH</w:t>
      </w:r>
      <w:r w:rsidR="0022723C" w:rsidRPr="00287556">
        <w:t xml:space="preserve">. </w:t>
      </w:r>
      <w:r w:rsidR="00E00C20" w:rsidRPr="00287556">
        <w:t xml:space="preserve"> </w:t>
      </w:r>
      <w:r w:rsidRPr="00287556">
        <w:t xml:space="preserve">MPDCCH is </w:t>
      </w:r>
      <w:r w:rsidR="00E00C20" w:rsidRPr="00287556">
        <w:t>considered to still be necessary to be scheduled within narrowbands.</w:t>
      </w:r>
      <w:bookmarkEnd w:id="50"/>
      <w:bookmarkEnd w:id="51"/>
      <w:bookmarkEnd w:id="52"/>
      <w:bookmarkEnd w:id="53"/>
      <w:bookmarkEnd w:id="54"/>
      <w:bookmarkEnd w:id="55"/>
      <w:bookmarkEnd w:id="56"/>
      <w:bookmarkEnd w:id="57"/>
      <w:bookmarkEnd w:id="58"/>
      <w:bookmarkEnd w:id="59"/>
      <w:bookmarkEnd w:id="60"/>
      <w:bookmarkEnd w:id="61"/>
    </w:p>
    <w:p w14:paraId="1AFE4FB0" w14:textId="4E26C039" w:rsidR="0028543E" w:rsidRPr="00287556" w:rsidRDefault="00D733C5" w:rsidP="0028543E">
      <w:pPr>
        <w:pStyle w:val="Proposal"/>
      </w:pPr>
      <w:bookmarkStart w:id="62" w:name="_Toc481758811"/>
      <w:bookmarkStart w:id="63" w:name="_Toc481759201"/>
      <w:bookmarkStart w:id="64" w:name="_Toc481761659"/>
      <w:bookmarkStart w:id="65" w:name="_Toc481765718"/>
      <w:bookmarkStart w:id="66" w:name="_Toc481765766"/>
      <w:bookmarkStart w:id="67" w:name="_Toc481766048"/>
      <w:bookmarkStart w:id="68" w:name="_Toc481766057"/>
      <w:bookmarkStart w:id="69" w:name="_Toc490153043"/>
      <w:bookmarkStart w:id="70" w:name="_Toc490153108"/>
      <w:bookmarkStart w:id="71" w:name="_Toc490228960"/>
      <w:bookmarkStart w:id="72" w:name="_Toc490229029"/>
      <w:r>
        <w:t>Consider</w:t>
      </w:r>
      <w:r w:rsidR="00287556" w:rsidRPr="00287556">
        <w:t xml:space="preserve"> introducing support for more flexible PDSCH/PUSCH resource allocation.</w:t>
      </w:r>
      <w:bookmarkEnd w:id="62"/>
      <w:bookmarkEnd w:id="63"/>
      <w:bookmarkEnd w:id="64"/>
      <w:bookmarkEnd w:id="65"/>
      <w:bookmarkEnd w:id="66"/>
      <w:bookmarkEnd w:id="67"/>
      <w:bookmarkEnd w:id="68"/>
      <w:bookmarkEnd w:id="69"/>
      <w:bookmarkEnd w:id="70"/>
      <w:bookmarkEnd w:id="71"/>
      <w:bookmarkEnd w:id="72"/>
    </w:p>
    <w:p w14:paraId="4E54F3D7" w14:textId="24E8B73A" w:rsidR="00DF71A0" w:rsidRPr="00287556" w:rsidRDefault="00DF71A0" w:rsidP="006E062C"/>
    <w:p w14:paraId="2C1B6BD4" w14:textId="77777777" w:rsidR="00C01F33" w:rsidRPr="00287556" w:rsidRDefault="00C01F33" w:rsidP="00CE0424">
      <w:pPr>
        <w:pStyle w:val="Heading1"/>
      </w:pPr>
      <w:r w:rsidRPr="00287556">
        <w:lastRenderedPageBreak/>
        <w:t>Conclusion</w:t>
      </w:r>
    </w:p>
    <w:p w14:paraId="67A9799B" w14:textId="54F89600" w:rsidR="000B73F3" w:rsidRPr="00D43D3F" w:rsidRDefault="008E065E">
      <w:pPr>
        <w:pStyle w:val="TOC1"/>
        <w:rPr>
          <w:b w:val="0"/>
        </w:rPr>
      </w:pPr>
      <w:r w:rsidRPr="00D43D3F">
        <w:rPr>
          <w:b w:val="0"/>
        </w:rPr>
        <w:t xml:space="preserve">In section </w:t>
      </w:r>
      <w:r w:rsidRPr="00D43D3F">
        <w:rPr>
          <w:b w:val="0"/>
        </w:rPr>
        <w:fldChar w:fldCharType="begin"/>
      </w:r>
      <w:r w:rsidRPr="00D43D3F">
        <w:rPr>
          <w:b w:val="0"/>
        </w:rPr>
        <w:instrText xml:space="preserve"> REF _Ref178064866 \r \h </w:instrText>
      </w:r>
      <w:r w:rsidR="00287556" w:rsidRPr="00D43D3F">
        <w:rPr>
          <w:b w:val="0"/>
        </w:rPr>
        <w:instrText xml:space="preserve"> \* MERGEFORMAT </w:instrText>
      </w:r>
      <w:r w:rsidRPr="00D43D3F">
        <w:rPr>
          <w:b w:val="0"/>
        </w:rPr>
      </w:r>
      <w:r w:rsidRPr="00D43D3F">
        <w:rPr>
          <w:b w:val="0"/>
        </w:rPr>
        <w:fldChar w:fldCharType="separate"/>
      </w:r>
      <w:r w:rsidR="00B508BC">
        <w:rPr>
          <w:b w:val="0"/>
        </w:rPr>
        <w:t>2</w:t>
      </w:r>
      <w:r w:rsidRPr="00D43D3F">
        <w:rPr>
          <w:b w:val="0"/>
        </w:rPr>
        <w:fldChar w:fldCharType="end"/>
      </w:r>
      <w:r w:rsidRPr="00D43D3F">
        <w:rPr>
          <w:b w:val="0"/>
        </w:rPr>
        <w:t xml:space="preserve"> we made the following observations:</w:t>
      </w:r>
    </w:p>
    <w:p w14:paraId="5E120785" w14:textId="77777777" w:rsidR="00B508BC" w:rsidRPr="00B508BC" w:rsidRDefault="008E065E">
      <w:pPr>
        <w:pStyle w:val="TOC1"/>
        <w:rPr>
          <w:rFonts w:asciiTheme="minorHAnsi" w:eastAsiaTheme="minorEastAsia" w:hAnsiTheme="minorHAnsi" w:cstheme="minorBidi"/>
          <w:b w:val="0"/>
          <w:sz w:val="22"/>
          <w:lang w:eastAsia="sv-SE"/>
        </w:rPr>
      </w:pPr>
      <w:r w:rsidRPr="00287556">
        <w:rPr>
          <w:b w:val="0"/>
          <w:bCs/>
        </w:rPr>
        <w:fldChar w:fldCharType="begin"/>
      </w:r>
      <w:r w:rsidRPr="00287556">
        <w:rPr>
          <w:bCs/>
        </w:rPr>
        <w:instrText xml:space="preserve"> TOC \f \n \t "Observation;1" </w:instrText>
      </w:r>
      <w:r w:rsidRPr="00287556">
        <w:rPr>
          <w:b w:val="0"/>
          <w:bCs/>
        </w:rPr>
        <w:fldChar w:fldCharType="separate"/>
      </w:r>
      <w:r w:rsidR="00B508BC" w:rsidRPr="00826650">
        <w:t>Observation 1</w:t>
      </w:r>
      <w:r w:rsidR="00B508BC" w:rsidRPr="00B508BC">
        <w:rPr>
          <w:rFonts w:asciiTheme="minorHAnsi" w:eastAsiaTheme="minorEastAsia" w:hAnsiTheme="minorHAnsi" w:cstheme="minorBidi"/>
          <w:b w:val="0"/>
          <w:sz w:val="22"/>
          <w:lang w:eastAsia="sv-SE"/>
        </w:rPr>
        <w:tab/>
      </w:r>
      <w:r w:rsidR="00B508BC" w:rsidRPr="00826650">
        <w:t>Resource allocation type 0 is the allocation strategy that provides the highest spectrum utlilization and user throughput for downlink scheduling of a single higher category UE.</w:t>
      </w:r>
    </w:p>
    <w:p w14:paraId="74B7723F" w14:textId="77777777" w:rsidR="00B508BC" w:rsidRPr="00B508BC" w:rsidRDefault="00B508BC">
      <w:pPr>
        <w:pStyle w:val="TOC1"/>
        <w:rPr>
          <w:rFonts w:asciiTheme="minorHAnsi" w:eastAsiaTheme="minorEastAsia" w:hAnsiTheme="minorHAnsi" w:cstheme="minorBidi"/>
          <w:b w:val="0"/>
          <w:sz w:val="22"/>
          <w:lang w:eastAsia="sv-SE"/>
        </w:rPr>
      </w:pPr>
      <w:r>
        <w:t>Observation 2</w:t>
      </w:r>
      <w:r w:rsidRPr="00B508BC">
        <w:rPr>
          <w:rFonts w:asciiTheme="minorHAnsi" w:eastAsiaTheme="minorEastAsia" w:hAnsiTheme="minorHAnsi" w:cstheme="minorBidi"/>
          <w:b w:val="0"/>
          <w:sz w:val="22"/>
          <w:lang w:eastAsia="sv-SE"/>
        </w:rPr>
        <w:tab/>
      </w:r>
      <w:r w:rsidRPr="00826650">
        <w:t>For the scenario of scheduling PDSCH for a single LTE user in conjunction to full utilization of one BL/CE narrowband</w:t>
      </w:r>
      <w:r>
        <w:t>, the misalignment between the BL/CE narrowband and the LTE resource block groups introduces a degradation of 0 to 10% of the PRB resource utilization, depending on the system bandwidth and which narrowband is used for the BL/CE users.</w:t>
      </w:r>
    </w:p>
    <w:p w14:paraId="3CA6E189" w14:textId="77777777" w:rsidR="00B508BC" w:rsidRPr="00B508BC" w:rsidRDefault="00B508BC">
      <w:pPr>
        <w:pStyle w:val="TOC1"/>
        <w:rPr>
          <w:rFonts w:asciiTheme="minorHAnsi" w:eastAsiaTheme="minorEastAsia" w:hAnsiTheme="minorHAnsi" w:cstheme="minorBidi"/>
          <w:b w:val="0"/>
          <w:sz w:val="22"/>
          <w:lang w:eastAsia="sv-SE"/>
        </w:rPr>
      </w:pPr>
      <w:r>
        <w:t>Observation 3</w:t>
      </w:r>
      <w:r w:rsidRPr="00B508BC">
        <w:rPr>
          <w:rFonts w:asciiTheme="minorHAnsi" w:eastAsiaTheme="minorEastAsia" w:hAnsiTheme="minorHAnsi" w:cstheme="minorBidi"/>
          <w:b w:val="0"/>
          <w:sz w:val="22"/>
          <w:lang w:eastAsia="sv-SE"/>
        </w:rPr>
        <w:tab/>
      </w:r>
      <w:r>
        <w:t>With a more flexible allocation of the downlink PRBs for the BL/CE users this degradation may be avoided.</w:t>
      </w:r>
    </w:p>
    <w:p w14:paraId="692707FA" w14:textId="77777777" w:rsidR="00B508BC" w:rsidRPr="00B508BC" w:rsidRDefault="00B508BC">
      <w:pPr>
        <w:pStyle w:val="TOC1"/>
        <w:rPr>
          <w:rFonts w:asciiTheme="minorHAnsi" w:eastAsiaTheme="minorEastAsia" w:hAnsiTheme="minorHAnsi" w:cstheme="minorBidi"/>
          <w:b w:val="0"/>
          <w:sz w:val="22"/>
          <w:lang w:eastAsia="sv-SE"/>
        </w:rPr>
      </w:pPr>
      <w:r>
        <w:t>Observation 4</w:t>
      </w:r>
      <w:r w:rsidRPr="00B508BC">
        <w:rPr>
          <w:rFonts w:asciiTheme="minorHAnsi" w:eastAsiaTheme="minorEastAsia" w:hAnsiTheme="minorHAnsi" w:cstheme="minorBidi"/>
          <w:b w:val="0"/>
          <w:sz w:val="22"/>
          <w:lang w:eastAsia="sv-SE"/>
        </w:rPr>
        <w:tab/>
      </w:r>
      <w:r>
        <w:t>If a more flexible allocation is introduced for the PDSCH transmission of Cat-M UEs, a more flexible allocation may also be considered for the PUSCH transmission.</w:t>
      </w:r>
    </w:p>
    <w:p w14:paraId="1969FF67" w14:textId="77777777" w:rsidR="00B508BC" w:rsidRPr="00B508BC" w:rsidRDefault="00B508BC">
      <w:pPr>
        <w:pStyle w:val="TOC1"/>
        <w:rPr>
          <w:rFonts w:asciiTheme="minorHAnsi" w:eastAsiaTheme="minorEastAsia" w:hAnsiTheme="minorHAnsi" w:cstheme="minorBidi"/>
          <w:b w:val="0"/>
          <w:sz w:val="22"/>
          <w:lang w:eastAsia="sv-SE"/>
        </w:rPr>
      </w:pPr>
      <w:r>
        <w:t>Observation 5</w:t>
      </w:r>
      <w:r w:rsidRPr="00B508BC">
        <w:rPr>
          <w:rFonts w:asciiTheme="minorHAnsi" w:eastAsiaTheme="minorEastAsia" w:hAnsiTheme="minorHAnsi" w:cstheme="minorBidi"/>
          <w:b w:val="0"/>
          <w:sz w:val="22"/>
          <w:lang w:eastAsia="sv-SE"/>
        </w:rPr>
        <w:tab/>
      </w:r>
      <w:r>
        <w:t>The more flexible resource allocation only applies to PDSCH and PUSCH.  MPDCCH is considered to still be necessary to be scheduled within narrowbands.</w:t>
      </w:r>
    </w:p>
    <w:p w14:paraId="68ED5EBF" w14:textId="77777777" w:rsidR="008E065E" w:rsidRPr="00287556" w:rsidRDefault="008E065E" w:rsidP="008E065E">
      <w:pPr>
        <w:pStyle w:val="BodyText"/>
        <w:rPr>
          <w:b/>
          <w:bCs/>
        </w:rPr>
      </w:pPr>
      <w:r w:rsidRPr="00287556">
        <w:rPr>
          <w:b/>
          <w:bCs/>
        </w:rPr>
        <w:fldChar w:fldCharType="end"/>
      </w:r>
    </w:p>
    <w:p w14:paraId="7938B3EA" w14:textId="1A68176A" w:rsidR="000B73F3" w:rsidRPr="00D43D3F" w:rsidRDefault="008E065E">
      <w:pPr>
        <w:pStyle w:val="TOC1"/>
        <w:rPr>
          <w:b w:val="0"/>
        </w:rPr>
      </w:pPr>
      <w:r w:rsidRPr="00D43D3F">
        <w:rPr>
          <w:b w:val="0"/>
        </w:rPr>
        <w:t xml:space="preserve">Based on the discussion in section </w:t>
      </w:r>
      <w:r w:rsidRPr="00D43D3F">
        <w:rPr>
          <w:b w:val="0"/>
        </w:rPr>
        <w:fldChar w:fldCharType="begin"/>
      </w:r>
      <w:r w:rsidRPr="00D43D3F">
        <w:rPr>
          <w:b w:val="0"/>
        </w:rPr>
        <w:instrText xml:space="preserve"> REF _Ref178064866 \r \h </w:instrText>
      </w:r>
      <w:r w:rsidR="00287556" w:rsidRPr="00D43D3F">
        <w:rPr>
          <w:b w:val="0"/>
        </w:rPr>
        <w:instrText xml:space="preserve"> \* MERGEFORMAT </w:instrText>
      </w:r>
      <w:r w:rsidRPr="00D43D3F">
        <w:rPr>
          <w:b w:val="0"/>
        </w:rPr>
      </w:r>
      <w:r w:rsidRPr="00D43D3F">
        <w:rPr>
          <w:b w:val="0"/>
        </w:rPr>
        <w:fldChar w:fldCharType="separate"/>
      </w:r>
      <w:r w:rsidR="00B508BC">
        <w:rPr>
          <w:b w:val="0"/>
        </w:rPr>
        <w:t>2</w:t>
      </w:r>
      <w:r w:rsidRPr="00D43D3F">
        <w:rPr>
          <w:b w:val="0"/>
        </w:rPr>
        <w:fldChar w:fldCharType="end"/>
      </w:r>
      <w:r w:rsidRPr="00D43D3F">
        <w:rPr>
          <w:b w:val="0"/>
        </w:rPr>
        <w:t xml:space="preserve"> we propose the following:</w:t>
      </w:r>
    </w:p>
    <w:p w14:paraId="23F8D151" w14:textId="77777777" w:rsidR="00B508BC" w:rsidRPr="00B508BC" w:rsidRDefault="008E065E">
      <w:pPr>
        <w:pStyle w:val="TOC1"/>
        <w:rPr>
          <w:rFonts w:asciiTheme="minorHAnsi" w:eastAsiaTheme="minorEastAsia" w:hAnsiTheme="minorHAnsi" w:cstheme="minorBidi"/>
          <w:b w:val="0"/>
          <w:sz w:val="22"/>
          <w:lang w:eastAsia="sv-SE"/>
        </w:rPr>
      </w:pPr>
      <w:r w:rsidRPr="00287556">
        <w:rPr>
          <w:b w:val="0"/>
          <w:bCs/>
        </w:rPr>
        <w:fldChar w:fldCharType="begin"/>
      </w:r>
      <w:r w:rsidRPr="00287556">
        <w:rPr>
          <w:bCs/>
        </w:rPr>
        <w:instrText xml:space="preserve"> TOC \f \n \p " " \t "Proposal;1" </w:instrText>
      </w:r>
      <w:r w:rsidRPr="00287556">
        <w:rPr>
          <w:b w:val="0"/>
          <w:bCs/>
        </w:rPr>
        <w:fldChar w:fldCharType="separate"/>
      </w:r>
      <w:r w:rsidR="00B508BC">
        <w:t>Proposal 1</w:t>
      </w:r>
      <w:r w:rsidR="00B508BC" w:rsidRPr="00B508BC">
        <w:rPr>
          <w:rFonts w:asciiTheme="minorHAnsi" w:eastAsiaTheme="minorEastAsia" w:hAnsiTheme="minorHAnsi" w:cstheme="minorBidi"/>
          <w:b w:val="0"/>
          <w:sz w:val="22"/>
          <w:lang w:eastAsia="sv-SE"/>
        </w:rPr>
        <w:tab/>
      </w:r>
      <w:r w:rsidR="00B508BC">
        <w:t>Consider introducing support for more flexible PDSCH/PUSCH resource allocation.</w:t>
      </w:r>
    </w:p>
    <w:p w14:paraId="6EF5CF0A" w14:textId="3E257356" w:rsidR="003A7EF3" w:rsidRPr="003C051F" w:rsidRDefault="008E065E" w:rsidP="003C051F">
      <w:pPr>
        <w:rPr>
          <w:b/>
          <w:bCs/>
        </w:rPr>
      </w:pPr>
      <w:r w:rsidRPr="00287556">
        <w:rPr>
          <w:b/>
          <w:bCs/>
        </w:rPr>
        <w:fldChar w:fldCharType="end"/>
      </w:r>
      <w:bookmarkStart w:id="73" w:name="_In-sequence_SDU_delivery"/>
      <w:bookmarkEnd w:id="73"/>
    </w:p>
    <w:sectPr w:rsidR="003A7EF3" w:rsidRPr="003C051F">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115E3B" w14:textId="77777777" w:rsidR="00F87808" w:rsidRDefault="00F87808">
      <w:r>
        <w:separator/>
      </w:r>
    </w:p>
  </w:endnote>
  <w:endnote w:type="continuationSeparator" w:id="0">
    <w:p w14:paraId="7CB21C55" w14:textId="77777777" w:rsidR="00F87808" w:rsidRDefault="00F87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EA8269" w14:textId="77777777" w:rsidR="005B5FCF" w:rsidRDefault="005B5F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604DF91E"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B5FCF">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B5FCF">
      <w:rPr>
        <w:rStyle w:val="PageNumber"/>
      </w:rPr>
      <w:t>3</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A82D1C" w14:textId="77777777" w:rsidR="005B5FCF" w:rsidRDefault="005B5F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DA2920" w14:textId="77777777" w:rsidR="00F87808" w:rsidRDefault="00F87808">
      <w:r>
        <w:separator/>
      </w:r>
    </w:p>
  </w:footnote>
  <w:footnote w:type="continuationSeparator" w:id="0">
    <w:p w14:paraId="6C44A38B" w14:textId="77777777" w:rsidR="00F87808" w:rsidRDefault="00F878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971D0F" w14:textId="77777777" w:rsidR="005B5FCF" w:rsidRDefault="005B5F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1D9B9E" w14:textId="77777777" w:rsidR="005B5FCF" w:rsidRDefault="005B5F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43EADDA4"/>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B15A720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8A2889D8"/>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CDC"/>
    <w:rsid w:val="00011B28"/>
    <w:rsid w:val="00015D15"/>
    <w:rsid w:val="0002531D"/>
    <w:rsid w:val="0002564D"/>
    <w:rsid w:val="00025ECA"/>
    <w:rsid w:val="000325B8"/>
    <w:rsid w:val="00034C15"/>
    <w:rsid w:val="00036BA1"/>
    <w:rsid w:val="00036CC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296D"/>
    <w:rsid w:val="00093474"/>
    <w:rsid w:val="0009510F"/>
    <w:rsid w:val="000A09E9"/>
    <w:rsid w:val="000A0AA7"/>
    <w:rsid w:val="000A1B7B"/>
    <w:rsid w:val="000A56F2"/>
    <w:rsid w:val="000B2719"/>
    <w:rsid w:val="000B3A8F"/>
    <w:rsid w:val="000B4AB9"/>
    <w:rsid w:val="000B58C3"/>
    <w:rsid w:val="000B61E9"/>
    <w:rsid w:val="000B73F3"/>
    <w:rsid w:val="000C165A"/>
    <w:rsid w:val="000C2E19"/>
    <w:rsid w:val="000D0D07"/>
    <w:rsid w:val="000D4797"/>
    <w:rsid w:val="000E0527"/>
    <w:rsid w:val="000E1E92"/>
    <w:rsid w:val="000E4441"/>
    <w:rsid w:val="000F06D6"/>
    <w:rsid w:val="000F0EB1"/>
    <w:rsid w:val="000F1106"/>
    <w:rsid w:val="000F3BE9"/>
    <w:rsid w:val="000F3F6C"/>
    <w:rsid w:val="000F6DF3"/>
    <w:rsid w:val="000F764C"/>
    <w:rsid w:val="001005FF"/>
    <w:rsid w:val="001062FB"/>
    <w:rsid w:val="001063E6"/>
    <w:rsid w:val="001131A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1A7"/>
    <w:rsid w:val="001526E0"/>
    <w:rsid w:val="001551B5"/>
    <w:rsid w:val="001575EE"/>
    <w:rsid w:val="001659C1"/>
    <w:rsid w:val="00173A8E"/>
    <w:rsid w:val="00177795"/>
    <w:rsid w:val="0018143F"/>
    <w:rsid w:val="001841D8"/>
    <w:rsid w:val="00190AC1"/>
    <w:rsid w:val="0019341A"/>
    <w:rsid w:val="00197DF9"/>
    <w:rsid w:val="001A1987"/>
    <w:rsid w:val="001A2564"/>
    <w:rsid w:val="001A6173"/>
    <w:rsid w:val="001A6CBA"/>
    <w:rsid w:val="001B0D97"/>
    <w:rsid w:val="001B5A5D"/>
    <w:rsid w:val="001B6441"/>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261FE"/>
    <w:rsid w:val="0022723C"/>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42E"/>
    <w:rsid w:val="002737F4"/>
    <w:rsid w:val="002805F5"/>
    <w:rsid w:val="00280751"/>
    <w:rsid w:val="0028280A"/>
    <w:rsid w:val="0028543E"/>
    <w:rsid w:val="00286ACD"/>
    <w:rsid w:val="00287556"/>
    <w:rsid w:val="00287838"/>
    <w:rsid w:val="002907B5"/>
    <w:rsid w:val="00292EB7"/>
    <w:rsid w:val="00296227"/>
    <w:rsid w:val="00296F44"/>
    <w:rsid w:val="0029777D"/>
    <w:rsid w:val="002A055E"/>
    <w:rsid w:val="002A1D4E"/>
    <w:rsid w:val="002A2869"/>
    <w:rsid w:val="002B24D6"/>
    <w:rsid w:val="002C41E6"/>
    <w:rsid w:val="002C5BA4"/>
    <w:rsid w:val="002D071A"/>
    <w:rsid w:val="002D34B2"/>
    <w:rsid w:val="002D7637"/>
    <w:rsid w:val="002E17F2"/>
    <w:rsid w:val="002E7CAE"/>
    <w:rsid w:val="002F2771"/>
    <w:rsid w:val="002F37A9"/>
    <w:rsid w:val="00301CE6"/>
    <w:rsid w:val="0030256B"/>
    <w:rsid w:val="00302D38"/>
    <w:rsid w:val="0030501F"/>
    <w:rsid w:val="00306121"/>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264"/>
    <w:rsid w:val="003A7EF3"/>
    <w:rsid w:val="003B159C"/>
    <w:rsid w:val="003B369F"/>
    <w:rsid w:val="003B36A3"/>
    <w:rsid w:val="003B7FE5"/>
    <w:rsid w:val="003C051F"/>
    <w:rsid w:val="003C11C8"/>
    <w:rsid w:val="003C2702"/>
    <w:rsid w:val="003C7806"/>
    <w:rsid w:val="003D109F"/>
    <w:rsid w:val="003D2478"/>
    <w:rsid w:val="003D3C45"/>
    <w:rsid w:val="003D5B1F"/>
    <w:rsid w:val="003E15FA"/>
    <w:rsid w:val="003E422C"/>
    <w:rsid w:val="003E55E4"/>
    <w:rsid w:val="003E661A"/>
    <w:rsid w:val="003E74E3"/>
    <w:rsid w:val="003F05C7"/>
    <w:rsid w:val="003F2CD4"/>
    <w:rsid w:val="003F6BBE"/>
    <w:rsid w:val="003F7F62"/>
    <w:rsid w:val="004000E8"/>
    <w:rsid w:val="00402E2B"/>
    <w:rsid w:val="0040512B"/>
    <w:rsid w:val="00405CA5"/>
    <w:rsid w:val="00407CD3"/>
    <w:rsid w:val="00410134"/>
    <w:rsid w:val="00410B72"/>
    <w:rsid w:val="00410F18"/>
    <w:rsid w:val="0041263E"/>
    <w:rsid w:val="00413AAC"/>
    <w:rsid w:val="00421105"/>
    <w:rsid w:val="004242F4"/>
    <w:rsid w:val="00427248"/>
    <w:rsid w:val="004371DF"/>
    <w:rsid w:val="00437447"/>
    <w:rsid w:val="00441A92"/>
    <w:rsid w:val="00444F56"/>
    <w:rsid w:val="00446488"/>
    <w:rsid w:val="004503FF"/>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293B"/>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47F4D"/>
    <w:rsid w:val="00550419"/>
    <w:rsid w:val="00554E19"/>
    <w:rsid w:val="0056121F"/>
    <w:rsid w:val="00572505"/>
    <w:rsid w:val="00582809"/>
    <w:rsid w:val="0058798C"/>
    <w:rsid w:val="005900FA"/>
    <w:rsid w:val="005935A4"/>
    <w:rsid w:val="005948C2"/>
    <w:rsid w:val="00595DCA"/>
    <w:rsid w:val="0059779B"/>
    <w:rsid w:val="005A0DD9"/>
    <w:rsid w:val="005A209A"/>
    <w:rsid w:val="005A662D"/>
    <w:rsid w:val="005B35D7"/>
    <w:rsid w:val="005B392A"/>
    <w:rsid w:val="005B3AA3"/>
    <w:rsid w:val="005B5FCF"/>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12A9"/>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F35"/>
    <w:rsid w:val="00667EE7"/>
    <w:rsid w:val="00670922"/>
    <w:rsid w:val="00670BE1"/>
    <w:rsid w:val="0067218F"/>
    <w:rsid w:val="006741F2"/>
    <w:rsid w:val="00674CC3"/>
    <w:rsid w:val="00675C72"/>
    <w:rsid w:val="006771F9"/>
    <w:rsid w:val="006776D7"/>
    <w:rsid w:val="00681003"/>
    <w:rsid w:val="006817C9"/>
    <w:rsid w:val="00683ECE"/>
    <w:rsid w:val="00690445"/>
    <w:rsid w:val="00695FC2"/>
    <w:rsid w:val="00696949"/>
    <w:rsid w:val="00697052"/>
    <w:rsid w:val="006A46FB"/>
    <w:rsid w:val="006A5E28"/>
    <w:rsid w:val="006A697B"/>
    <w:rsid w:val="006A7AFF"/>
    <w:rsid w:val="006B1816"/>
    <w:rsid w:val="006B2099"/>
    <w:rsid w:val="006B50CF"/>
    <w:rsid w:val="006B5B0F"/>
    <w:rsid w:val="006C03B8"/>
    <w:rsid w:val="006C5EC9"/>
    <w:rsid w:val="006C6059"/>
    <w:rsid w:val="006C716E"/>
    <w:rsid w:val="006C7522"/>
    <w:rsid w:val="006C76D0"/>
    <w:rsid w:val="006D6F08"/>
    <w:rsid w:val="006E062C"/>
    <w:rsid w:val="006E28B7"/>
    <w:rsid w:val="006E3310"/>
    <w:rsid w:val="006E4E39"/>
    <w:rsid w:val="006E565E"/>
    <w:rsid w:val="006E673D"/>
    <w:rsid w:val="006E7D3B"/>
    <w:rsid w:val="006F1B70"/>
    <w:rsid w:val="006F341D"/>
    <w:rsid w:val="006F3CDE"/>
    <w:rsid w:val="006F58D4"/>
    <w:rsid w:val="006F75FD"/>
    <w:rsid w:val="0070346E"/>
    <w:rsid w:val="00704EDB"/>
    <w:rsid w:val="00706101"/>
    <w:rsid w:val="00707072"/>
    <w:rsid w:val="00707D61"/>
    <w:rsid w:val="00712287"/>
    <w:rsid w:val="00712772"/>
    <w:rsid w:val="007148D3"/>
    <w:rsid w:val="00715B9A"/>
    <w:rsid w:val="00726EA6"/>
    <w:rsid w:val="00727208"/>
    <w:rsid w:val="00727680"/>
    <w:rsid w:val="00732461"/>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77B69"/>
    <w:rsid w:val="0078177E"/>
    <w:rsid w:val="00781A84"/>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2C1A"/>
    <w:rsid w:val="008444E8"/>
    <w:rsid w:val="00844E80"/>
    <w:rsid w:val="00846FE7"/>
    <w:rsid w:val="00856911"/>
    <w:rsid w:val="008677D3"/>
    <w:rsid w:val="008677FD"/>
    <w:rsid w:val="008706D4"/>
    <w:rsid w:val="00870F8A"/>
    <w:rsid w:val="008719A4"/>
    <w:rsid w:val="00871D23"/>
    <w:rsid w:val="00874312"/>
    <w:rsid w:val="0087437C"/>
    <w:rsid w:val="00875CD7"/>
    <w:rsid w:val="00876B4D"/>
    <w:rsid w:val="00877F18"/>
    <w:rsid w:val="0089424E"/>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1FEE"/>
    <w:rsid w:val="008E7E2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0C42"/>
    <w:rsid w:val="00922010"/>
    <w:rsid w:val="00926E43"/>
    <w:rsid w:val="00931BD9"/>
    <w:rsid w:val="009368F3"/>
    <w:rsid w:val="00941636"/>
    <w:rsid w:val="00943742"/>
    <w:rsid w:val="00943DAE"/>
    <w:rsid w:val="00945C05"/>
    <w:rsid w:val="00946945"/>
    <w:rsid w:val="00947713"/>
    <w:rsid w:val="00950DE7"/>
    <w:rsid w:val="00953920"/>
    <w:rsid w:val="00953D47"/>
    <w:rsid w:val="00953F2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64E5"/>
    <w:rsid w:val="009B7E87"/>
    <w:rsid w:val="009C403E"/>
    <w:rsid w:val="009D4FF0"/>
    <w:rsid w:val="009D703C"/>
    <w:rsid w:val="009D718F"/>
    <w:rsid w:val="009E068F"/>
    <w:rsid w:val="009E14E0"/>
    <w:rsid w:val="009E35DB"/>
    <w:rsid w:val="009E47A3"/>
    <w:rsid w:val="009F08F3"/>
    <w:rsid w:val="009F344F"/>
    <w:rsid w:val="00A038F0"/>
    <w:rsid w:val="00A048A8"/>
    <w:rsid w:val="00A04F49"/>
    <w:rsid w:val="00A13E54"/>
    <w:rsid w:val="00A17F63"/>
    <w:rsid w:val="00A2193B"/>
    <w:rsid w:val="00A2351A"/>
    <w:rsid w:val="00A264A9"/>
    <w:rsid w:val="00A27785"/>
    <w:rsid w:val="00A30187"/>
    <w:rsid w:val="00A3448A"/>
    <w:rsid w:val="00A36297"/>
    <w:rsid w:val="00A41E2B"/>
    <w:rsid w:val="00A45B74"/>
    <w:rsid w:val="00A52E1D"/>
    <w:rsid w:val="00A55928"/>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D553E"/>
    <w:rsid w:val="00AE27AC"/>
    <w:rsid w:val="00AE2834"/>
    <w:rsid w:val="00AE40E0"/>
    <w:rsid w:val="00AE4DBA"/>
    <w:rsid w:val="00AE4F07"/>
    <w:rsid w:val="00AF1C5D"/>
    <w:rsid w:val="00AF42D7"/>
    <w:rsid w:val="00AF58B9"/>
    <w:rsid w:val="00B006FE"/>
    <w:rsid w:val="00B007CB"/>
    <w:rsid w:val="00B0231E"/>
    <w:rsid w:val="00B02AA9"/>
    <w:rsid w:val="00B02FA3"/>
    <w:rsid w:val="00B05084"/>
    <w:rsid w:val="00B157F9"/>
    <w:rsid w:val="00B20256"/>
    <w:rsid w:val="00B20D09"/>
    <w:rsid w:val="00B2763F"/>
    <w:rsid w:val="00B27AAC"/>
    <w:rsid w:val="00B304F3"/>
    <w:rsid w:val="00B30929"/>
    <w:rsid w:val="00B372AA"/>
    <w:rsid w:val="00B40445"/>
    <w:rsid w:val="00B40BEF"/>
    <w:rsid w:val="00B41888"/>
    <w:rsid w:val="00B45A52"/>
    <w:rsid w:val="00B46175"/>
    <w:rsid w:val="00B47326"/>
    <w:rsid w:val="00B508BC"/>
    <w:rsid w:val="00B6188F"/>
    <w:rsid w:val="00B664C7"/>
    <w:rsid w:val="00B739F6"/>
    <w:rsid w:val="00B805B1"/>
    <w:rsid w:val="00B81A6C"/>
    <w:rsid w:val="00B83A55"/>
    <w:rsid w:val="00B85DE5"/>
    <w:rsid w:val="00B90F73"/>
    <w:rsid w:val="00B91CDE"/>
    <w:rsid w:val="00B93B59"/>
    <w:rsid w:val="00B9406A"/>
    <w:rsid w:val="00B97752"/>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63E9"/>
    <w:rsid w:val="00BF74C7"/>
    <w:rsid w:val="00C015F1"/>
    <w:rsid w:val="00C01F33"/>
    <w:rsid w:val="00C02CC6"/>
    <w:rsid w:val="00C040F7"/>
    <w:rsid w:val="00C041B0"/>
    <w:rsid w:val="00C044AB"/>
    <w:rsid w:val="00C05706"/>
    <w:rsid w:val="00C07377"/>
    <w:rsid w:val="00C10478"/>
    <w:rsid w:val="00C11283"/>
    <w:rsid w:val="00C12107"/>
    <w:rsid w:val="00C13D72"/>
    <w:rsid w:val="00C14D4B"/>
    <w:rsid w:val="00C154BB"/>
    <w:rsid w:val="00C2526D"/>
    <w:rsid w:val="00C27885"/>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A21DB"/>
    <w:rsid w:val="00CA4875"/>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0EAE"/>
    <w:rsid w:val="00D0349B"/>
    <w:rsid w:val="00D07599"/>
    <w:rsid w:val="00D10249"/>
    <w:rsid w:val="00D115C3"/>
    <w:rsid w:val="00D11897"/>
    <w:rsid w:val="00D13135"/>
    <w:rsid w:val="00D13E4E"/>
    <w:rsid w:val="00D21442"/>
    <w:rsid w:val="00D239A7"/>
    <w:rsid w:val="00D23F47"/>
    <w:rsid w:val="00D36E71"/>
    <w:rsid w:val="00D37D87"/>
    <w:rsid w:val="00D40B33"/>
    <w:rsid w:val="00D4318F"/>
    <w:rsid w:val="00D438BF"/>
    <w:rsid w:val="00D43D3F"/>
    <w:rsid w:val="00D440F8"/>
    <w:rsid w:val="00D50F97"/>
    <w:rsid w:val="00D546FF"/>
    <w:rsid w:val="00D55AD5"/>
    <w:rsid w:val="00D576CA"/>
    <w:rsid w:val="00D61AF5"/>
    <w:rsid w:val="00D6506C"/>
    <w:rsid w:val="00D652B5"/>
    <w:rsid w:val="00D66155"/>
    <w:rsid w:val="00D708B0"/>
    <w:rsid w:val="00D73284"/>
    <w:rsid w:val="00D733C5"/>
    <w:rsid w:val="00D77B1D"/>
    <w:rsid w:val="00D8021F"/>
    <w:rsid w:val="00D80383"/>
    <w:rsid w:val="00D823C6"/>
    <w:rsid w:val="00D86CA3"/>
    <w:rsid w:val="00D871CE"/>
    <w:rsid w:val="00D9196D"/>
    <w:rsid w:val="00D92982"/>
    <w:rsid w:val="00DA1FCE"/>
    <w:rsid w:val="00DA305E"/>
    <w:rsid w:val="00DA5417"/>
    <w:rsid w:val="00DA56E8"/>
    <w:rsid w:val="00DB0A9F"/>
    <w:rsid w:val="00DB11C1"/>
    <w:rsid w:val="00DB377D"/>
    <w:rsid w:val="00DC2D36"/>
    <w:rsid w:val="00DC53EF"/>
    <w:rsid w:val="00DE3BC4"/>
    <w:rsid w:val="00DE5608"/>
    <w:rsid w:val="00DE58D0"/>
    <w:rsid w:val="00DE654F"/>
    <w:rsid w:val="00DF0B6E"/>
    <w:rsid w:val="00DF15E0"/>
    <w:rsid w:val="00DF37A0"/>
    <w:rsid w:val="00DF71A0"/>
    <w:rsid w:val="00E00C20"/>
    <w:rsid w:val="00E110E7"/>
    <w:rsid w:val="00E11B20"/>
    <w:rsid w:val="00E14D9A"/>
    <w:rsid w:val="00E17FA2"/>
    <w:rsid w:val="00E22130"/>
    <w:rsid w:val="00E22330"/>
    <w:rsid w:val="00E255A3"/>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056"/>
    <w:rsid w:val="00E57269"/>
    <w:rsid w:val="00E57565"/>
    <w:rsid w:val="00E63838"/>
    <w:rsid w:val="00E64434"/>
    <w:rsid w:val="00E645D3"/>
    <w:rsid w:val="00E660D3"/>
    <w:rsid w:val="00E67C51"/>
    <w:rsid w:val="00E72EFC"/>
    <w:rsid w:val="00E758EC"/>
    <w:rsid w:val="00E7640C"/>
    <w:rsid w:val="00E8234C"/>
    <w:rsid w:val="00E83AA9"/>
    <w:rsid w:val="00E85928"/>
    <w:rsid w:val="00E87822"/>
    <w:rsid w:val="00E90395"/>
    <w:rsid w:val="00E90E49"/>
    <w:rsid w:val="00E917F9"/>
    <w:rsid w:val="00E9291C"/>
    <w:rsid w:val="00E93FFE"/>
    <w:rsid w:val="00E94F8A"/>
    <w:rsid w:val="00EA7A41"/>
    <w:rsid w:val="00EB077B"/>
    <w:rsid w:val="00EB30F6"/>
    <w:rsid w:val="00EB4EA2"/>
    <w:rsid w:val="00EC27C6"/>
    <w:rsid w:val="00EC4207"/>
    <w:rsid w:val="00EC496F"/>
    <w:rsid w:val="00EC509A"/>
    <w:rsid w:val="00EC5653"/>
    <w:rsid w:val="00EC71CE"/>
    <w:rsid w:val="00EC7E25"/>
    <w:rsid w:val="00ED1006"/>
    <w:rsid w:val="00ED53B1"/>
    <w:rsid w:val="00EF18FE"/>
    <w:rsid w:val="00EF5787"/>
    <w:rsid w:val="00EF60D0"/>
    <w:rsid w:val="00F0528D"/>
    <w:rsid w:val="00F06C67"/>
    <w:rsid w:val="00F06DFD"/>
    <w:rsid w:val="00F071D1"/>
    <w:rsid w:val="00F07533"/>
    <w:rsid w:val="00F10629"/>
    <w:rsid w:val="00F11EF2"/>
    <w:rsid w:val="00F14720"/>
    <w:rsid w:val="00F154BD"/>
    <w:rsid w:val="00F15FA5"/>
    <w:rsid w:val="00F209B7"/>
    <w:rsid w:val="00F2376F"/>
    <w:rsid w:val="00F243D8"/>
    <w:rsid w:val="00F30828"/>
    <w:rsid w:val="00F313D6"/>
    <w:rsid w:val="00F32402"/>
    <w:rsid w:val="00F40F0C"/>
    <w:rsid w:val="00F4766C"/>
    <w:rsid w:val="00F507D1"/>
    <w:rsid w:val="00F519CE"/>
    <w:rsid w:val="00F51ADA"/>
    <w:rsid w:val="00F607C5"/>
    <w:rsid w:val="00F60DEA"/>
    <w:rsid w:val="00F6302A"/>
    <w:rsid w:val="00F64C2B"/>
    <w:rsid w:val="00F651BE"/>
    <w:rsid w:val="00F67F53"/>
    <w:rsid w:val="00F703BE"/>
    <w:rsid w:val="00F7082E"/>
    <w:rsid w:val="00F71F69"/>
    <w:rsid w:val="00F72B72"/>
    <w:rsid w:val="00F74BB9"/>
    <w:rsid w:val="00F75582"/>
    <w:rsid w:val="00F76EFA"/>
    <w:rsid w:val="00F804BE"/>
    <w:rsid w:val="00F809C2"/>
    <w:rsid w:val="00F817CE"/>
    <w:rsid w:val="00F8456C"/>
    <w:rsid w:val="00F859D8"/>
    <w:rsid w:val="00F868F5"/>
    <w:rsid w:val="00F87808"/>
    <w:rsid w:val="00F9056A"/>
    <w:rsid w:val="00F90F8D"/>
    <w:rsid w:val="00F92782"/>
    <w:rsid w:val="00F93AA9"/>
    <w:rsid w:val="00F96985"/>
    <w:rsid w:val="00F97838"/>
    <w:rsid w:val="00FA2BB3"/>
    <w:rsid w:val="00FB0457"/>
    <w:rsid w:val="00FB4C80"/>
    <w:rsid w:val="00FB6A6A"/>
    <w:rsid w:val="00FC18D3"/>
    <w:rsid w:val="00FC7429"/>
    <w:rsid w:val="00FD07F6"/>
    <w:rsid w:val="00FD1EC8"/>
    <w:rsid w:val="00FD47ED"/>
    <w:rsid w:val="00FD74DB"/>
    <w:rsid w:val="00FD7660"/>
    <w:rsid w:val="00FE0655"/>
    <w:rsid w:val="00FE1A6C"/>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table" w:styleId="TableGrid">
    <w:name w:val="Table Grid"/>
    <w:basedOn w:val="TableNormal"/>
    <w:rsid w:val="00E572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D553E"/>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694866">
      <w:bodyDiv w:val="1"/>
      <w:marLeft w:val="0"/>
      <w:marRight w:val="0"/>
      <w:marTop w:val="0"/>
      <w:marBottom w:val="0"/>
      <w:divBdr>
        <w:top w:val="none" w:sz="0" w:space="0" w:color="auto"/>
        <w:left w:val="none" w:sz="0" w:space="0" w:color="auto"/>
        <w:bottom w:val="none" w:sz="0" w:space="0" w:color="auto"/>
        <w:right w:val="none" w:sz="0" w:space="0" w:color="auto"/>
      </w:divBdr>
    </w:div>
    <w:div w:id="645941236">
      <w:bodyDiv w:val="1"/>
      <w:marLeft w:val="0"/>
      <w:marRight w:val="0"/>
      <w:marTop w:val="0"/>
      <w:marBottom w:val="0"/>
      <w:divBdr>
        <w:top w:val="none" w:sz="0" w:space="0" w:color="auto"/>
        <w:left w:val="none" w:sz="0" w:space="0" w:color="auto"/>
        <w:bottom w:val="none" w:sz="0" w:space="0" w:color="auto"/>
        <w:right w:val="none" w:sz="0" w:space="0" w:color="auto"/>
      </w:divBdr>
    </w:div>
    <w:div w:id="1686783742">
      <w:bodyDiv w:val="1"/>
      <w:marLeft w:val="0"/>
      <w:marRight w:val="0"/>
      <w:marTop w:val="0"/>
      <w:marBottom w:val="0"/>
      <w:divBdr>
        <w:top w:val="none" w:sz="0" w:space="0" w:color="auto"/>
        <w:left w:val="none" w:sz="0" w:space="0" w:color="auto"/>
        <w:bottom w:val="none" w:sz="0" w:space="0" w:color="auto"/>
        <w:right w:val="none" w:sz="0" w:space="0" w:color="auto"/>
      </w:divBdr>
    </w:div>
    <w:div w:id="1816410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2.xml><?xml version="1.0" encoding="utf-8"?>
<ds:datastoreItem xmlns:ds="http://schemas.openxmlformats.org/officeDocument/2006/customXml" ds:itemID="{7C5847C3-2A0C-4D7D-8054-FDB48E84D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980</Words>
  <Characters>5196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6164</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2017-08-11T14:03:00Z</dcterms:created>
  <dcterms:modified xsi:type="dcterms:W3CDTF">2017-08-11T14:03:00Z</dcterms:modified>
</cp:coreProperties>
</file>